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9013" w:type="dxa"/>
        <w:jc w:val="center"/>
        <w:tblInd w:w="0" w:type="dxa"/>
        <w:tblLayout w:type="fixed"/>
        <w:tblCellMar>
          <w:top w:w="28" w:type="dxa"/>
          <w:left w:w="28" w:type="dxa"/>
          <w:bottom w:w="28" w:type="dxa"/>
          <w:right w:w="28" w:type="dxa"/>
        </w:tblCellMar>
      </w:tblPr>
      <w:tblGrid>
        <w:gridCol w:w="655"/>
        <w:gridCol w:w="577"/>
        <w:gridCol w:w="577"/>
        <w:gridCol w:w="577"/>
        <w:gridCol w:w="577"/>
        <w:gridCol w:w="577"/>
        <w:gridCol w:w="577"/>
        <w:gridCol w:w="577"/>
        <w:gridCol w:w="577"/>
        <w:gridCol w:w="577"/>
        <w:gridCol w:w="577"/>
        <w:gridCol w:w="577"/>
        <w:gridCol w:w="577"/>
        <w:gridCol w:w="577"/>
        <w:gridCol w:w="857"/>
      </w:tblGrid>
      <w:tr>
        <w:trPr/>
        <w:tc>
          <w:tcPr>
            <w:tcW w:w="65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9013"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ableContents"/>
              <w:bidi w:val="0"/>
              <w:spacing w:before="0" w:after="0"/>
              <w:jc w:val="center"/>
              <w:rPr/>
            </w:pPr>
            <w:r>
              <w:rPr/>
            </w:r>
          </w:p>
        </w:tc>
      </w:tr>
      <w:tr>
        <w:trPr/>
        <w:tc>
          <w:tcPr>
            <w:tcW w:w="9013"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6-K</w:t>
            </w:r>
          </w:p>
          <w:p>
            <w:pPr>
              <w:pStyle w:val="TableContents"/>
              <w:bidi w:val="0"/>
              <w:spacing w:before="0" w:after="0"/>
              <w:jc w:val="center"/>
              <w:rPr/>
            </w:pPr>
            <w:r>
              <w:rPr/>
            </w:r>
          </w:p>
        </w:tc>
      </w:tr>
      <w:tr>
        <w:trPr/>
        <w:tc>
          <w:tcPr>
            <w:tcW w:w="9013"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REPORT OF FOREIGN PRIVATE ISSUER</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PURSUANT TO RULE 13a-16 OR 15d-16</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UNDER THE SECURITIES EXCHANGE ACT OF 1934</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Month of July 2026</w:t>
            </w:r>
          </w:p>
          <w:p>
            <w:pPr>
              <w:pStyle w:val="TableContents"/>
              <w:bidi w:val="0"/>
              <w:spacing w:before="0" w:after="0"/>
              <w:jc w:val="center"/>
              <w:rPr/>
            </w:pPr>
            <w:r>
              <w:rPr/>
            </w:r>
          </w:p>
          <w:p>
            <w:pPr>
              <w:pStyle w:val="TableContents"/>
              <w:bidi w:val="0"/>
              <w:spacing w:lineRule="auto" w:line="240" w:before="0" w:after="0"/>
              <w:jc w:val="center"/>
              <w:rPr/>
            </w:pPr>
            <w:r>
              <w:rPr>
                <w:rFonts w:ascii="Times New Roman;serif" w:hAnsi="Times New Roman;serif"/>
                <w:b/>
                <w:color w:val="000000"/>
                <w:sz w:val="18"/>
              </w:rPr>
              <w:t xml:space="preserve">Commission File Number: </w:t>
            </w:r>
            <w:r>
              <w:rPr>
                <w:rFonts w:ascii="Times New Roman;serif" w:hAnsi="Times New Roman;serif"/>
                <w:b/>
                <w:color w:val="000000"/>
                <w:sz w:val="22"/>
              </w:rPr>
              <w:t>001-38097</w:t>
            </w:r>
          </w:p>
          <w:p>
            <w:pPr>
              <w:pStyle w:val="TableContents"/>
              <w:bidi w:val="0"/>
              <w:spacing w:before="0" w:after="0"/>
              <w:jc w:val="center"/>
              <w:rPr/>
            </w:pPr>
            <w:r>
              <w:rPr/>
            </w:r>
          </w:p>
        </w:tc>
      </w:tr>
      <w:tr>
        <w:trPr/>
        <w:tc>
          <w:tcPr>
            <w:tcW w:w="9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3"/>
              </w:rPr>
            </w:pPr>
            <w:r>
              <w:rPr>
                <w:rFonts w:ascii="Times New Roman;serif" w:hAnsi="Times New Roman;serif"/>
                <w:b/>
                <w:color w:val="000000"/>
                <w:sz w:val="43"/>
              </w:rPr>
              <w:t>ARGENX SE</w:t>
            </w:r>
          </w:p>
        </w:tc>
      </w:tr>
      <w:tr>
        <w:trPr/>
        <w:tc>
          <w:tcPr>
            <w:tcW w:w="90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firstLine="851"/>
              <w:jc w:val="center"/>
              <w:rPr>
                <w:rFonts w:ascii="Times New Roman;serif" w:hAnsi="Times New Roman;serif"/>
                <w:b w:val="false"/>
                <w:color w:val="000000"/>
                <w:sz w:val="18"/>
              </w:rPr>
            </w:pPr>
            <w:r>
              <w:rPr>
                <w:rFonts w:ascii="Times New Roman;serif" w:hAnsi="Times New Roman;serif"/>
                <w:b w:val="false"/>
                <w:color w:val="000000"/>
                <w:sz w:val="18"/>
              </w:rPr>
              <w:t>(Translation of registrant’s name into English)</w:t>
            </w:r>
          </w:p>
        </w:tc>
      </w:tr>
      <w:tr>
        <w:trPr/>
        <w:tc>
          <w:tcPr>
            <w:tcW w:w="9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Laarderhoogtweg 25</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1101 EB Amsterdam, the Netherlands.</w:t>
            </w:r>
          </w:p>
        </w:tc>
      </w:tr>
      <w:tr>
        <w:trPr/>
        <w:tc>
          <w:tcPr>
            <w:tcW w:w="90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r>
      <w:tr>
        <w:trPr/>
        <w:tc>
          <w:tcPr>
            <w:tcW w:w="9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files or will file annual reports under cover of Form 20-F or Form 40-F.</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Form 20-F ⌧    Form 40-F ☐</w:t>
            </w:r>
          </w:p>
          <w:p>
            <w:pPr>
              <w:pStyle w:val="TableContents"/>
              <w:bidi w:val="0"/>
              <w:spacing w:before="0" w:after="0"/>
              <w:jc w:val="center"/>
              <w:rPr/>
            </w:pPr>
            <w:r>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if the registrant is submitting the Form 6-K in paper as permitted by Regulation S-T Rule 101(b) (1): ☐</w:t>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if the registrant is submitting the Form 6-K in paper as permitted by Regulation S-T Rule 101(b)(7): ☐</w:t>
            </w:r>
          </w:p>
        </w:tc>
      </w:tr>
      <w:tr>
        <w:trPr/>
        <w:tc>
          <w:tcPr>
            <w:tcW w:w="180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ind w:left="0" w:right="0" w:firstLine="851"/>
              <w:jc w:val="center"/>
              <w:rPr>
                <w:rFonts w:ascii="Times New Roman;serif" w:hAnsi="Times New Roman;serif"/>
                <w:b/>
                <w:color w:val="000000"/>
                <w:sz w:val="18"/>
              </w:rPr>
            </w:pPr>
            <w:r>
              <w:rPr>
                <w:rFonts w:ascii="Times New Roman;serif" w:hAnsi="Times New Roman;serif"/>
                <w:b/>
                <w:color w:val="000000"/>
                <w:sz w:val="18"/>
              </w:rPr>
              <w:t>argenx SE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64" w:before="0" w:after="0"/>
              <w:jc w:val="left"/>
              <w:rPr/>
            </w:pPr>
            <w:r>
              <w:rPr>
                <w:rFonts w:ascii="Times New Roman;serif" w:hAnsi="Times New Roman;serif"/>
                <w:b w:val="false"/>
                <w:color w:val="000000"/>
                <w:sz w:val="18"/>
              </w:rPr>
              <w:t>On July 23, 2026, argenx SE (the “</w:t>
            </w:r>
            <w:r>
              <w:rPr>
                <w:rFonts w:ascii="Times New Roman;serif" w:hAnsi="Times New Roman;serif"/>
                <w:b w:val="false"/>
                <w:color w:val="000000"/>
                <w:sz w:val="18"/>
                <w:u w:val="single"/>
              </w:rPr>
              <w:t>Company</w:t>
            </w:r>
            <w:r>
              <w:rPr>
                <w:rFonts w:ascii="Times New Roman;serif" w:hAnsi="Times New Roman;serif"/>
                <w:b w:val="false"/>
                <w:color w:val="000000"/>
                <w:sz w:val="18"/>
              </w:rPr>
              <w:t>) issued a press release, unaudited first half-year financial results for 2026, which are further described in an Unaudited Interim Report for the Six Months Ended June 30, 2026, and an investor presentation copies of which are attached hereto as Exhibits 99.1, 99.2 and 99.3, respectively, and are incorporated by reference herein.</w:t>
            </w:r>
          </w:p>
          <w:p>
            <w:pPr>
              <w:pStyle w:val="TableContents"/>
              <w:bidi w:val="0"/>
              <w:spacing w:before="0" w:after="0"/>
              <w:jc w:val="left"/>
              <w:rPr/>
            </w:pPr>
            <w:r>
              <w:rPr/>
            </w:r>
          </w:p>
          <w:p>
            <w:pPr>
              <w:pStyle w:val="TableContents"/>
              <w:bidi w:val="0"/>
              <w:spacing w:lineRule="auto" w:line="280" w:before="0" w:after="0"/>
              <w:jc w:val="both"/>
              <w:rPr/>
            </w:pPr>
            <w:r>
              <w:rPr>
                <w:rFonts w:ascii="Times New Roman;serif" w:hAnsi="Times New Roman;serif"/>
                <w:b w:val="false"/>
                <w:i/>
                <w:color w:val="000000"/>
                <w:sz w:val="17"/>
              </w:rPr>
              <w:t xml:space="preserve">The information contained in this Current Report on Form 6-K, including Exhibit 99.1 and Exhibit 99.2, shall be deemed to be incorporated by reference into the Company’s Registration Statements on Form S-8 (File Nos. </w:t>
            </w:r>
            <w:hyperlink r:id="rId2">
              <w:r>
                <w:rPr>
                  <w:rStyle w:val="InternetLink"/>
                  <w:rFonts w:ascii="Times New Roman;serif" w:hAnsi="Times New Roman;serif"/>
                  <w:b w:val="false"/>
                  <w:i/>
                  <w:color w:val="0000FF"/>
                  <w:sz w:val="17"/>
                  <w:u w:val="single"/>
                </w:rPr>
                <w:t>333-225375</w:t>
              </w:r>
            </w:hyperlink>
            <w:r>
              <w:rPr>
                <w:rFonts w:ascii="Times New Roman;serif" w:hAnsi="Times New Roman;serif"/>
                <w:b w:val="false"/>
                <w:i/>
                <w:color w:val="000000"/>
                <w:sz w:val="17"/>
              </w:rPr>
              <w:t xml:space="preserve">, </w:t>
            </w:r>
            <w:hyperlink r:id="rId3">
              <w:r>
                <w:rPr>
                  <w:rStyle w:val="InternetLink"/>
                  <w:rFonts w:ascii="Times New Roman;serif" w:hAnsi="Times New Roman;serif"/>
                  <w:b w:val="false"/>
                  <w:i/>
                  <w:color w:val="0000FF"/>
                  <w:sz w:val="17"/>
                  <w:u w:val="single"/>
                </w:rPr>
                <w:t>333-258253</w:t>
              </w:r>
            </w:hyperlink>
            <w:r>
              <w:rPr>
                <w:rFonts w:ascii="Times New Roman;serif" w:hAnsi="Times New Roman;serif"/>
                <w:b w:val="false"/>
                <w:i/>
                <w:color w:val="000000"/>
                <w:sz w:val="17"/>
              </w:rPr>
              <w:t xml:space="preserve">, </w:t>
            </w:r>
            <w:hyperlink r:id="rId4">
              <w:r>
                <w:rPr>
                  <w:rStyle w:val="InternetLink"/>
                  <w:rFonts w:ascii="Times New Roman;serif" w:hAnsi="Times New Roman;serif"/>
                  <w:b w:val="false"/>
                  <w:i/>
                  <w:color w:val="0000FF"/>
                  <w:sz w:val="17"/>
                  <w:u w:val="single"/>
                </w:rPr>
                <w:t>333-274721</w:t>
              </w:r>
            </w:hyperlink>
            <w:r>
              <w:rPr>
                <w:rFonts w:ascii="Times New Roman;serif" w:hAnsi="Times New Roman;serif"/>
                <w:b w:val="false"/>
                <w:i/>
                <w:color w:val="000000"/>
                <w:sz w:val="17"/>
              </w:rPr>
              <w:t xml:space="preserve">, and </w:t>
            </w:r>
            <w:hyperlink r:id="rId5">
              <w:r>
                <w:rPr>
                  <w:rStyle w:val="InternetLink"/>
                  <w:rFonts w:ascii="Times New Roman;serif" w:hAnsi="Times New Roman;serif"/>
                  <w:b w:val="false"/>
                  <w:i/>
                  <w:color w:val="0000FF"/>
                  <w:sz w:val="17"/>
                  <w:u w:val="single"/>
                </w:rPr>
                <w:t>333-292200</w:t>
              </w:r>
            </w:hyperlink>
            <w:r>
              <w:rPr>
                <w:rFonts w:ascii="Times New Roman;serif" w:hAnsi="Times New Roman;serif"/>
                <w:b w:val="false"/>
                <w:i/>
                <w:color w:val="000000"/>
                <w:sz w:val="17"/>
              </w:rPr>
              <w:t>), and to be part thereof from the date on which this Current Report on Form 6-K is filed, to the extent not superseded by documents or reports subsequently filed or furnished.</w:t>
            </w:r>
          </w:p>
        </w:tc>
      </w:tr>
      <w:tr>
        <w:trPr/>
        <w:tc>
          <w:tcPr>
            <w:tcW w:w="205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146" w:type="dxa"/>
        <w:jc w:val="left"/>
        <w:tblInd w:w="0" w:type="dxa"/>
        <w:tblLayout w:type="fixed"/>
        <w:tblCellMar>
          <w:top w:w="28" w:type="dxa"/>
          <w:left w:w="28" w:type="dxa"/>
          <w:bottom w:w="28" w:type="dxa"/>
          <w:right w:w="28" w:type="dxa"/>
        </w:tblCellMar>
      </w:tblPr>
      <w:tblGrid>
        <w:gridCol w:w="288"/>
        <w:gridCol w:w="252"/>
        <w:gridCol w:w="254"/>
        <w:gridCol w:w="109"/>
        <w:gridCol w:w="109"/>
        <w:gridCol w:w="109"/>
        <w:gridCol w:w="530"/>
        <w:gridCol w:w="530"/>
        <w:gridCol w:w="3965"/>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965" w:type="dxa"/>
            <w:tcBorders/>
            <w:vAlign w:val="center"/>
          </w:tcPr>
          <w:p>
            <w:pPr>
              <w:pStyle w:val="TableContents"/>
              <w:bidi w:val="0"/>
              <w:spacing w:before="0" w:after="283"/>
              <w:ind w:left="0" w:right="0" w:firstLine="680"/>
              <w:jc w:val="left"/>
              <w:rPr>
                <w:sz w:val="4"/>
                <w:szCs w:val="4"/>
              </w:rPr>
            </w:pPr>
            <w:r>
              <w:rPr>
                <w:sz w:val="4"/>
                <w:szCs w:val="4"/>
              </w:rPr>
            </w:r>
          </w:p>
        </w:tc>
      </w:tr>
      <w:tr>
        <w:trPr/>
        <w:tc>
          <w:tcPr>
            <w:tcW w:w="614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EXHIBITS</w:t>
            </w:r>
          </w:p>
        </w:tc>
      </w:tr>
      <w:tr>
        <w:trPr/>
        <w:tc>
          <w:tcPr>
            <w:tcW w:w="7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4"/>
              </w:rPr>
            </w:pPr>
            <w:r>
              <w:rPr>
                <w:rFonts w:ascii="Times New Roman;serif" w:hAnsi="Times New Roman;serif"/>
                <w:b/>
                <w:color w:val="000000"/>
                <w:sz w:val="14"/>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4"/>
              </w:rPr>
            </w:pPr>
            <w:r>
              <w:rPr>
                <w:rFonts w:ascii="Times New Roman;serif" w:hAnsi="Times New Roman;serif"/>
                <w:b/>
                <w:color w:val="000000"/>
                <w:sz w:val="14"/>
              </w:rPr>
              <w:t>Description</w:t>
            </w:r>
          </w:p>
        </w:tc>
      </w:tr>
      <w:tr>
        <w:trPr/>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a04earningspressreleasehy.htm">
              <w:r>
                <w:rPr>
                  <w:rStyle w:val="InternetLink"/>
                  <w:rFonts w:ascii="Times New Roman;serif" w:hAnsi="Times New Roman;serif"/>
                  <w:b w:val="false"/>
                  <w:color w:val="000080"/>
                  <w:sz w:val="18"/>
                </w:rPr>
                <w:t xml:space="preserve">Press Release dated July </w:t>
              </w:r>
            </w:hyperlink>
            <w:hyperlink w:anchor="a04earningspressreleasehy.htm">
              <w:r>
                <w:rPr>
                  <w:rStyle w:val="InternetLink"/>
                  <w:rFonts w:ascii="Times New Roman;serif" w:hAnsi="Times New Roman;serif"/>
                  <w:b w:val="false"/>
                  <w:color w:val="000080"/>
                  <w:sz w:val="18"/>
                </w:rPr>
                <w:t>23</w:t>
              </w:r>
            </w:hyperlink>
            <w:hyperlink w:anchor="a04earningspressreleasehy.htm">
              <w:r>
                <w:rPr>
                  <w:rStyle w:val="InternetLink"/>
                  <w:rFonts w:ascii="Times New Roman;serif" w:hAnsi="Times New Roman;serif"/>
                  <w:b w:val="false"/>
                  <w:color w:val="000080"/>
                  <w:sz w:val="18"/>
                </w:rPr>
                <w:t>,</w:t>
              </w:r>
            </w:hyperlink>
            <w:hyperlink w:anchor="a04earningspressreleasehy.htm">
              <w:r>
                <w:rPr>
                  <w:rStyle w:val="InternetLink"/>
                  <w:rFonts w:ascii="Times New Roman;serif" w:hAnsi="Times New Roman;serif"/>
                  <w:b w:val="false"/>
                  <w:color w:val="000080"/>
                  <w:sz w:val="18"/>
                </w:rPr>
                <w:t xml:space="preserve"> 202</w:t>
              </w:r>
            </w:hyperlink>
            <w:r>
              <w:rPr>
                <w:rFonts w:ascii="Times New Roman;serif" w:hAnsi="Times New Roman;serif"/>
                <w:b w:val="false"/>
                <w:color w:val="0E32E1"/>
                <w:sz w:val="18"/>
              </w:rPr>
              <w:t>6</w:t>
            </w:r>
          </w:p>
        </w:tc>
      </w:tr>
      <w:tr>
        <w:trPr/>
        <w:tc>
          <w:tcPr>
            <w:tcW w:w="7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rgx-20260630_d2.htm">
              <w:r>
                <w:rPr>
                  <w:rStyle w:val="InternetLink"/>
                  <w:rFonts w:ascii="Times New Roman;serif" w:hAnsi="Times New Roman;serif"/>
                  <w:b w:val="false"/>
                  <w:color w:val="000080"/>
                  <w:sz w:val="18"/>
                </w:rPr>
                <w:t>Unaudited Interim Report for the Six Months Ended June 30</w:t>
              </w:r>
            </w:hyperlink>
            <w:hyperlink w:anchor="argx-20260630_d2.htm">
              <w:r>
                <w:rPr>
                  <w:rStyle w:val="InternetLink"/>
                  <w:rFonts w:ascii="Times New Roman;serif" w:hAnsi="Times New Roman;serif"/>
                  <w:b w:val="false"/>
                  <w:color w:val="000080"/>
                  <w:sz w:val="18"/>
                </w:rPr>
                <w:t>, 202</w:t>
              </w:r>
            </w:hyperlink>
            <w:r>
              <w:rPr>
                <w:rFonts w:ascii="Times New Roman;serif" w:hAnsi="Times New Roman;serif"/>
                <w:b w:val="false"/>
                <w:color w:val="0E32E1"/>
                <w:sz w:val="18"/>
              </w:rPr>
              <w:t>6</w:t>
            </w:r>
          </w:p>
        </w:tc>
      </w:tr>
      <w:tr>
        <w:trPr/>
        <w:tc>
          <w:tcPr>
            <w:tcW w:w="7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rgxq226slides.htm">
              <w:r>
                <w:rPr>
                  <w:rStyle w:val="InternetLink"/>
                  <w:rFonts w:ascii="Times New Roman;serif" w:hAnsi="Times New Roman;serif"/>
                  <w:b w:val="false"/>
                  <w:color w:val="0000FF"/>
                  <w:sz w:val="18"/>
                </w:rPr>
                <w:t>Investor Presentation dated July 23, 2026</w:t>
              </w:r>
            </w:hyperlink>
          </w:p>
        </w:tc>
      </w:tr>
      <w:tr>
        <w:trPr/>
        <w:tc>
          <w:tcPr>
            <w:tcW w:w="7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r>
      <w:tr>
        <w:trPr/>
        <w:tc>
          <w:tcPr>
            <w:tcW w:w="7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7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7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7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w:t>
            </w:r>
          </w:p>
        </w:tc>
      </w:tr>
      <w:tr>
        <w:trPr/>
        <w:tc>
          <w:tcPr>
            <w:tcW w:w="7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center"/>
        <w:rPr/>
      </w:pPr>
      <w:r>
        <w:rPr/>
      </w:r>
    </w:p>
    <w:p>
      <w:pPr>
        <w:pStyle w:val="TextBody"/>
        <w:bidi w:val="0"/>
        <w:spacing w:lineRule="auto" w:line="280"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tbl>
      <w:tblPr>
        <w:tblW w:w="4879" w:type="dxa"/>
        <w:jc w:val="left"/>
        <w:tblInd w:w="0" w:type="dxa"/>
        <w:tblLayout w:type="fixed"/>
        <w:tblCellMar>
          <w:top w:w="28" w:type="dxa"/>
          <w:left w:w="28" w:type="dxa"/>
          <w:bottom w:w="28" w:type="dxa"/>
          <w:right w:w="28" w:type="dxa"/>
        </w:tblCellMar>
      </w:tblPr>
      <w:tblGrid>
        <w:gridCol w:w="577"/>
        <w:gridCol w:w="506"/>
        <w:gridCol w:w="512"/>
        <w:gridCol w:w="120"/>
        <w:gridCol w:w="120"/>
        <w:gridCol w:w="120"/>
        <w:gridCol w:w="854"/>
        <w:gridCol w:w="854"/>
        <w:gridCol w:w="1216"/>
      </w:tblGrid>
      <w:tr>
        <w:trPr/>
        <w:tc>
          <w:tcPr>
            <w:tcW w:w="57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ARGENX SE</w:t>
            </w:r>
          </w:p>
        </w:tc>
      </w:tr>
      <w:tr>
        <w:trPr/>
        <w:tc>
          <w:tcPr>
            <w:tcW w:w="159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0"/>
              <w:jc w:val="left"/>
              <w:rPr/>
            </w:pPr>
            <w:r>
              <w:rPr>
                <w:rFonts w:ascii="Times New Roman;serif" w:hAnsi="Times New Roman;serif"/>
                <w:b w:val="false"/>
                <w:color w:val="000000"/>
                <w:sz w:val="18"/>
              </w:rPr>
              <w:t xml:space="preserve">Date: July 23, </w:t>
            </w:r>
            <w:r>
              <w:rPr>
                <w:rFonts w:ascii="Times New Roman;serif" w:hAnsi="Times New Roman;serif"/>
                <w:b w:val="false"/>
                <w:color w:val="000000"/>
                <w:sz w:val="20"/>
              </w:rPr>
              <w:t>2026</w:t>
            </w:r>
          </w:p>
        </w:tc>
        <w:tc>
          <w:tcPr>
            <w:tcW w:w="36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2924"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/s/ Hemamalini (Malini) Moorthy</w:t>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08" w:before="0" w:after="0"/>
              <w:ind w:left="0" w:right="0" w:firstLine="60"/>
              <w:jc w:val="left"/>
              <w:rPr>
                <w:rFonts w:ascii="Times New Roman;serif" w:hAnsi="Times New Roman;serif"/>
                <w:b w:val="false"/>
                <w:color w:val="000000"/>
                <w:sz w:val="18"/>
              </w:rPr>
            </w:pPr>
            <w:r>
              <w:rPr>
                <w:rFonts w:ascii="Times New Roman;serif" w:hAnsi="Times New Roman;serif"/>
                <w:b w:val="false"/>
                <w:color w:val="000000"/>
                <w:sz w:val="18"/>
              </w:rPr>
              <w:t>Hemamalini (Malini) Moorthy</w:t>
            </w:r>
          </w:p>
        </w:tc>
      </w:tr>
      <w:tr>
        <w:trPr/>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60"/>
              <w:jc w:val="left"/>
              <w:rPr>
                <w:rFonts w:ascii="Times New Roman;serif" w:hAnsi="Times New Roman;serif"/>
                <w:b w:val="false"/>
                <w:color w:val="000000"/>
                <w:sz w:val="18"/>
              </w:rPr>
            </w:pPr>
            <w:r>
              <w:rPr>
                <w:rFonts w:ascii="Times New Roman;serif" w:hAnsi="Times New Roman;serif"/>
                <w:b w:val="false"/>
                <w:color w:val="000000"/>
                <w:sz w:val="18"/>
              </w:rPr>
              <w:t>General Counsel</w:t>
            </w:r>
          </w:p>
        </w:tc>
      </w:tr>
      <w:tr>
        <w:trPr/>
        <w:tc>
          <w:tcPr>
            <w:tcW w:w="15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drawing>
          <wp:inline distT="0" distB="0" distL="0" distR="0">
            <wp:extent cx="1295400" cy="400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6"/>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argenx Reports Half Year 2026 Financial Results and Provides Second Quarter Business Update</w:t>
      </w:r>
    </w:p>
    <w:p>
      <w:pPr>
        <w:pStyle w:val="TextBody"/>
        <w:bidi w:val="0"/>
        <w:spacing w:lineRule="auto" w:line="316" w:before="0" w:after="0"/>
        <w:jc w:val="center"/>
        <w:rPr>
          <w:rFonts w:ascii="Arial;sans-serif" w:hAnsi="Arial;sans-serif"/>
          <w:b w:val="false"/>
          <w:i/>
          <w:color w:val="000000"/>
          <w:sz w:val="18"/>
        </w:rPr>
      </w:pPr>
      <w:r>
        <w:rPr>
          <w:rFonts w:ascii="Arial;sans-serif" w:hAnsi="Arial;sans-serif"/>
          <w:b w:val="false"/>
          <w:i/>
          <w:color w:val="000000"/>
          <w:sz w:val="18"/>
        </w:rPr>
        <w:t xml:space="preserve">Strong second quarter performance with $1.5 billion in global product net sales, representing 60% year-over-year growth and 17% quarter-over-quarter growth </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18"/>
        </w:rPr>
      </w:pPr>
      <w:r>
        <w:rPr>
          <w:rFonts w:ascii="Arial;sans-serif" w:hAnsi="Arial;sans-serif"/>
          <w:b w:val="false"/>
          <w:i/>
          <w:color w:val="000000"/>
          <w:sz w:val="18"/>
        </w:rPr>
        <w:t>Successfully launched VYVGART and VYVGART Hytrulo in anti-AChR antibody negative (“seronegative”) gMG, expanding patient reach to all gMG serotypes</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18"/>
        </w:rPr>
      </w:pPr>
      <w:r>
        <w:rPr>
          <w:rFonts w:ascii="Arial;sans-serif" w:hAnsi="Arial;sans-serif"/>
          <w:b w:val="false"/>
          <w:i/>
          <w:color w:val="000000"/>
          <w:sz w:val="18"/>
        </w:rPr>
        <w:t>Registrational autoimmune myositis study readout on track for 3Q26, marking a key milestone for VYVGART expansion into rheumatology</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18"/>
        </w:rPr>
      </w:pPr>
      <w:r>
        <w:rPr>
          <w:rFonts w:ascii="Arial;sans-serif" w:hAnsi="Arial;sans-serif"/>
          <w:b w:val="false"/>
          <w:i/>
          <w:color w:val="000000"/>
          <w:sz w:val="18"/>
        </w:rPr>
        <w:t xml:space="preserve">Registrational MMN study readout for empasiprubart on track for 4Q26, supporting a second pipeline-in-a-product opportunity </w:t>
      </w:r>
    </w:p>
    <w:p>
      <w:pPr>
        <w:pStyle w:val="TextBody"/>
        <w:bidi w:val="0"/>
        <w:spacing w:before="0" w:after="0"/>
        <w:jc w:val="center"/>
        <w:rPr/>
      </w:pPr>
      <w:r>
        <w:rPr/>
      </w:r>
    </w:p>
    <w:p>
      <w:pPr>
        <w:pStyle w:val="TextBody"/>
        <w:bidi w:val="0"/>
        <w:spacing w:lineRule="auto" w:line="316" w:before="0" w:after="0"/>
        <w:jc w:val="center"/>
        <w:rPr>
          <w:rFonts w:ascii="Arial;sans-serif" w:hAnsi="Arial;sans-serif"/>
          <w:b w:val="false"/>
          <w:i/>
          <w:color w:val="000000"/>
          <w:sz w:val="18"/>
        </w:rPr>
      </w:pPr>
      <w:r>
        <w:rPr>
          <w:rFonts w:ascii="Arial;sans-serif" w:hAnsi="Arial;sans-serif"/>
          <w:b w:val="false"/>
          <w:i/>
          <w:color w:val="000000"/>
          <w:sz w:val="18"/>
        </w:rPr>
        <w:t>Management to host conference call today at 2:30 PM CET (8:30 AM ET)</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color w:val="000000"/>
          <w:sz w:val="18"/>
        </w:rPr>
      </w:pPr>
      <w:r>
        <w:rPr>
          <w:rFonts w:ascii="Arial;sans-serif" w:hAnsi="Arial;sans-serif"/>
          <w:b/>
          <w:color w:val="000000"/>
          <w:sz w:val="18"/>
        </w:rPr>
        <w:t>July 23, 2026 7:00 AM CET</w:t>
      </w:r>
    </w:p>
    <w:p>
      <w:pPr>
        <w:pStyle w:val="TextBody"/>
        <w:bidi w:val="0"/>
        <w:spacing w:before="0" w:after="0"/>
        <w:jc w:val="both"/>
        <w:rPr/>
      </w:pPr>
      <w:r>
        <w:rPr/>
      </w:r>
    </w:p>
    <w:p>
      <w:pPr>
        <w:pStyle w:val="TextBody"/>
        <w:bidi w:val="0"/>
        <w:spacing w:lineRule="auto" w:line="319" w:before="0" w:after="0"/>
        <w:jc w:val="left"/>
        <w:rPr/>
      </w:pPr>
      <w:r>
        <w:rPr>
          <w:rFonts w:ascii="Arial;sans-serif" w:hAnsi="Arial;sans-serif"/>
          <w:b/>
          <w:color w:val="000000"/>
          <w:sz w:val="18"/>
        </w:rPr>
        <w:t>Amsterdam, the Netherlands</w:t>
      </w:r>
      <w:r>
        <w:rPr>
          <w:color w:val="000000"/>
        </w:rPr>
        <w:t xml:space="preserve"> – </w:t>
      </w:r>
      <w:r>
        <w:rPr>
          <w:rFonts w:ascii="Arial;sans-serif" w:hAnsi="Arial;sans-serif"/>
          <w:b w:val="false"/>
          <w:color w:val="000000"/>
          <w:sz w:val="18"/>
        </w:rPr>
        <w:t>argenx SE (Euronext &amp; Nasdaq: ARGX), a global immunology innovation company, today announced its half year 2026 results and provided a second quarter business update.</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Arial;sans-serif" w:hAnsi="Arial;sans-serif"/>
          <w:b w:val="false"/>
          <w:color w:val="000000"/>
          <w:sz w:val="18"/>
        </w:rPr>
        <w:t>Our strong second quarter performance reflects continued execution of our Vision 2030 strategy and our commitment to accelerate immunology innovation,” said Karen Massey, Chief Executive Officer. “During the quarter, we further strengthened our leadership in FcRn with the launch of the expanded label for VYVGART and VYVGART Hytrulo to now include all gMG serotypes, providing physicians with a single treatment option for the broadest adult gMG patient population. With important registrational study readouts in the second half, as well as continued progress with our early-stage pipeline, we are advancing the next wave of innovation, reinforcing our ambition to build a leading multi-asset immunology company.”</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Vision 2030</w:t>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argenx continues to advance its ‘Vision 2030’ anchored in the ambition to treat 50,000 patients globally with its medicines, secure 10 labeled indications, and progress five pipeline candidates into registrational development by 2030.</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Expanding global VYVGART opportunity and shaping the long-term future of FcRn</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VYVGART® (IV: efgartigimod alfa-fcab; SC: efgartigimod alfa and hyaluronidase-qvfc) is the first-and-only approved treatment for all serotypes of adult patients living with generalized myasthenia gravis (gMG). It is also approved for chronic inflammatory demyelinating polyneuropathy (CIDP) globally, and primary immune thrombocytopenia (ITP) in Japan. As the leading targeted biologic in MG and CIDP, argenx is progressing multiple label expansions while building the future of FcRn by advancing novel FcRn pipeline candidates and new delivery modalities.</w:t>
      </w:r>
    </w:p>
    <w:p>
      <w:pPr>
        <w:pStyle w:val="TextBody"/>
        <w:bidi w:val="0"/>
        <w:spacing w:before="0" w:after="0"/>
        <w:jc w:val="both"/>
        <w:rPr/>
      </w:pPr>
      <w:r>
        <w:rPr/>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 xml:space="preserve">Generated $1.5 billion in global product net sales in the second quarter of 2026, representing 17% quarter-over-quarter growth, and a year-over-year increase of 60% or $0.6 billion </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Launched expanded label for VYVGART and VYVGART Hytrulo</w:t>
      </w:r>
      <w:r>
        <w:rPr>
          <w:rFonts w:ascii="Arial;sans-serif" w:hAnsi="Arial;sans-serif"/>
          <w:b w:val="false"/>
          <w:color w:val="000000"/>
          <w:sz w:val="12"/>
        </w:rPr>
        <w:t>®</w:t>
      </w:r>
      <w:r>
        <w:rPr>
          <w:color w:val="000000"/>
        </w:rPr>
        <w:t xml:space="preserve"> </w:t>
      </w:r>
      <w:r>
        <w:rPr>
          <w:rFonts w:ascii="Arial;sans-serif" w:hAnsi="Arial;sans-serif"/>
          <w:b w:val="false"/>
          <w:color w:val="000000"/>
          <w:sz w:val="18"/>
        </w:rPr>
        <w:t xml:space="preserve">in the U.S., which now includes all gMG serotypes (anti-AChR-Ab positive, anti-MuSK-Ab positive, anti-LRP4-Ab positive, and triple seronegative) </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On track with plans to expand VYVGART into ocular myasthenia gravis (oMG) following positive ADAPT OCULUS results</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Topline results from registrational ALKIVIA study (myositis) expected in third quarter of 2026</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Topline results from registrational ADVANCE-NEXT study (primary ITP) expected in first half of 2027</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Topline results from registrational UNITY study (Sjogren’s disease) expected in second half of 2027</w:t>
      </w:r>
    </w:p>
    <w:p>
      <w:pPr>
        <w:pStyle w:val="TextBody"/>
        <w:bidi w:val="0"/>
        <w:spacing w:before="0" w:after="180"/>
        <w:jc w:val="left"/>
        <w:rPr/>
      </w:pPr>
      <w:r>
        <w:rPr/>
        <w:drawing>
          <wp:inline distT="0" distB="0" distL="0" distR="0">
            <wp:extent cx="1295400" cy="4000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7"/>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8650"/>
                <wp:effectExtent l="0" t="0" r="0" b="0"/>
                <wp:wrapNone/>
                <wp:docPr id="7"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Registrational study in Graves’ disease (GD) ongoing, expanding development into thyroid-driven autoimmunity</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VYVGART SC autoinjector positioned to launch in 2027 for all approved indications</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Progressing two future FcRn molecules: ARGX-213, designed for monthly dosing, is Phase 3 ready, and ARGX-124 is expected to complete Phase 1 evaluation by end of 2026</w:t>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Advancing empasiprubart, argenx’s second pipeline-in-a-product opportunity</w:t>
      </w:r>
    </w:p>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Empasiprubart (anti-C2) is argenx’s second pipeline-in-a-product opportunity and is being evaluated in registrational studies in multifocal motor neuropathy (MMN) and CIDP, and in a combination study with VYVGART in gMG.</w:t>
      </w:r>
    </w:p>
    <w:p>
      <w:pPr>
        <w:pStyle w:val="TextBody"/>
        <w:bidi w:val="0"/>
        <w:spacing w:before="0" w:after="0"/>
        <w:jc w:val="both"/>
        <w:rPr/>
      </w:pPr>
      <w:r>
        <w:rPr/>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Topline results from registrational EMPASSION study (MMN) expected in fourth quarter of 2026</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Topline results from registrational EMVIGORATE and EMNERGIZE studies (CIDP) expected in second half of 2027</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 xml:space="preserve">Data from Phase 2 VARVARA study (delayed graft function, DGF) support further evaluation of empasiprubart in transplant setting based on signal at 52 weeks </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Advancing ADAPT-Forward combination study, evaluating empasiprubart as a potential add-on therapy to efgartigimod in gMG</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Delivering next wave of immunology innovation</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By the end of 2026, argenx expects to have ten molecules in clinical development across its immunology pipeline, including adimanebart (MuSK agonist), ARGX-121 (anti-IgA), ARGX-109 (anti-IL-6) and additional candidates emerging from the Immunology Innovation Program. Together, these programs support argenx's goal of building a durable pipeline of differentiated medicines.</w:t>
      </w:r>
    </w:p>
    <w:p>
      <w:pPr>
        <w:pStyle w:val="TextBody"/>
        <w:bidi w:val="0"/>
        <w:spacing w:before="0" w:after="0"/>
        <w:jc w:val="both"/>
        <w:rPr/>
      </w:pPr>
      <w:r>
        <w:rPr/>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Phase 2 study of adimanebart in spinal muscular atrophy (SMA) ongoing; registrational study in congenital myasthenic syndromes (CMS) expected to begin in 2026</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Phase 2 study of ARGX-121 in IgA nephropathy (IgAN) expected to start in 2026</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First-in-human Phase 1 study of TSP-101 (Fn14 inhibitor) is ongoing</w:t>
      </w:r>
    </w:p>
    <w:p>
      <w:pPr>
        <w:pStyle w:val="TextBody"/>
        <w:bidi w:val="0"/>
        <w:spacing w:lineRule="auto" w:line="319" w:before="0" w:after="180"/>
        <w:ind w:left="0" w:right="0" w:hanging="360"/>
        <w:jc w:val="both"/>
        <w:rPr/>
      </w:pPr>
      <w:r>
        <w:rPr>
          <w:color w:val="000000"/>
        </w:rPr>
        <w:t>•</w:t>
      </w:r>
      <w:r>
        <w:rPr>
          <w:rFonts w:ascii="Arial;sans-serif" w:hAnsi="Arial;sans-serif"/>
          <w:b w:val="false"/>
          <w:color w:val="000000"/>
          <w:sz w:val="18"/>
        </w:rPr>
        <w:t xml:space="preserve">ARGX-118 (Galectin-10 inhibitor) and ARGX-125 (first-in-class bispecific antibody against an undisclosed target) are on track to enter Phase 1 studies in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drawing>
          <wp:inline distT="0" distB="0" distL="0" distR="0">
            <wp:extent cx="1295400" cy="4000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8"/>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9"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300" w:before="0" w:after="0"/>
        <w:jc w:val="center"/>
        <w:rPr>
          <w:rFonts w:ascii="Arial;sans-serif" w:hAnsi="Arial;sans-serif"/>
          <w:b/>
          <w:color w:val="000000"/>
          <w:sz w:val="18"/>
        </w:rPr>
      </w:pPr>
      <w:r>
        <w:rPr>
          <w:rFonts w:ascii="Arial;sans-serif" w:hAnsi="Arial;sans-serif"/>
          <w:b/>
          <w:color w:val="000000"/>
          <w:sz w:val="18"/>
        </w:rPr>
        <w:t xml:space="preserve">SECOND QUARTER 2026 FINANCIAL RESULTS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argenx SE</w:t>
      </w:r>
    </w:p>
    <w:p>
      <w:pPr>
        <w:pStyle w:val="TextBody"/>
        <w:bidi w:val="0"/>
        <w:spacing w:lineRule="auto" w:line="300" w:before="0" w:after="180"/>
        <w:jc w:val="center"/>
        <w:rPr>
          <w:rFonts w:ascii="Arial;sans-serif" w:hAnsi="Arial;sans-serif"/>
          <w:b/>
          <w:color w:val="000000"/>
          <w:sz w:val="18"/>
        </w:rPr>
      </w:pPr>
      <w:r>
        <w:rPr>
          <w:rFonts w:ascii="Arial;sans-serif" w:hAnsi="Arial;sans-serif"/>
          <w:b/>
          <w:color w:val="000000"/>
          <w:sz w:val="18"/>
        </w:rPr>
        <w:t>UNAUDITED CONDENSED CONSOLIDATED INTERIM STATEMENTS OF PROFIT OR LOSS</w:t>
      </w:r>
    </w:p>
    <w:tbl>
      <w:tblPr>
        <w:tblW w:w="10205" w:type="dxa"/>
        <w:jc w:val="center"/>
        <w:tblInd w:w="0" w:type="dxa"/>
        <w:tblLayout w:type="fixed"/>
        <w:tblCellMar>
          <w:top w:w="28" w:type="dxa"/>
          <w:left w:w="28" w:type="dxa"/>
          <w:bottom w:w="28" w:type="dxa"/>
          <w:right w:w="28" w:type="dxa"/>
        </w:tblCellMar>
      </w:tblPr>
      <w:tblGrid>
        <w:gridCol w:w="1251"/>
        <w:gridCol w:w="949"/>
        <w:gridCol w:w="958"/>
        <w:gridCol w:w="109"/>
        <w:gridCol w:w="109"/>
        <w:gridCol w:w="109"/>
        <w:gridCol w:w="113"/>
        <w:gridCol w:w="113"/>
        <w:gridCol w:w="113"/>
        <w:gridCol w:w="479"/>
        <w:gridCol w:w="482"/>
        <w:gridCol w:w="113"/>
        <w:gridCol w:w="113"/>
        <w:gridCol w:w="113"/>
        <w:gridCol w:w="113"/>
        <w:gridCol w:w="113"/>
        <w:gridCol w:w="113"/>
        <w:gridCol w:w="113"/>
        <w:gridCol w:w="478"/>
        <w:gridCol w:w="483"/>
        <w:gridCol w:w="113"/>
        <w:gridCol w:w="109"/>
        <w:gridCol w:w="109"/>
        <w:gridCol w:w="109"/>
        <w:gridCol w:w="109"/>
        <w:gridCol w:w="109"/>
        <w:gridCol w:w="109"/>
        <w:gridCol w:w="479"/>
        <w:gridCol w:w="482"/>
        <w:gridCol w:w="109"/>
        <w:gridCol w:w="109"/>
        <w:gridCol w:w="109"/>
        <w:gridCol w:w="109"/>
        <w:gridCol w:w="109"/>
        <w:gridCol w:w="109"/>
        <w:gridCol w:w="109"/>
        <w:gridCol w:w="479"/>
        <w:gridCol w:w="482"/>
        <w:gridCol w:w="216"/>
      </w:tblGrid>
      <w:tr>
        <w:trPr/>
        <w:tc>
          <w:tcPr>
            <w:tcW w:w="125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 June,</w:t>
            </w:r>
          </w:p>
        </w:tc>
      </w:tr>
      <w:tr>
        <w:trPr/>
        <w:tc>
          <w:tcPr>
            <w:tcW w:w="3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of $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967</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1,775</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(1,435)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Exchange (losses)/gains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Profit for the period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532</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489</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Profit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415</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Profit for the period attributable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Owners of the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number of shares used for basic profit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62,312,606 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61,084,250 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62,185,445 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61,034,202 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profit per share (in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number of shares used for diluted profit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64,524,979 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65,639,446 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64,409,488 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65,653,007 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profit per share (in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4"/>
        </w:rPr>
      </w:pPr>
      <w:r>
        <w:rPr>
          <w:rFonts w:ascii="Arial;sans-serif" w:hAnsi="Arial;sans-serif"/>
          <w:b w:val="false"/>
          <w:color w:val="000000"/>
          <w:sz w:val="14"/>
        </w:rPr>
        <w:t>*Comparative figures have been aligned with the presentation adopted in the current period, reflecting the combination of research and development expenses and loss from investment in a joint venture.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drawing>
          <wp:inline distT="0" distB="0" distL="0" distR="0">
            <wp:extent cx="1295400" cy="4000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9"/>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11" name="Frame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97" w:before="0" w:after="160"/>
        <w:jc w:val="left"/>
        <w:rPr>
          <w:rFonts w:ascii="Arial;sans-serif" w:hAnsi="Arial;sans-serif"/>
          <w:b/>
          <w:color w:val="000000"/>
          <w:sz w:val="18"/>
        </w:rPr>
      </w:pPr>
      <w:r>
        <w:rPr>
          <w:rFonts w:ascii="Arial;sans-serif" w:hAnsi="Arial;sans-serif"/>
          <w:b/>
          <w:color w:val="000000"/>
          <w:sz w:val="18"/>
        </w:rPr>
        <w:t>DETAILS OF THE FINANCIAL RESULTS</w:t>
      </w:r>
    </w:p>
    <w:p>
      <w:pPr>
        <w:pStyle w:val="TextBody"/>
        <w:bidi w:val="0"/>
        <w:spacing w:lineRule="auto" w:line="319" w:before="0" w:after="180"/>
        <w:jc w:val="both"/>
        <w:rPr/>
      </w:pPr>
      <w:r>
        <w:rPr>
          <w:rFonts w:ascii="Arial;sans-serif" w:hAnsi="Arial;sans-serif"/>
          <w:b/>
          <w:color w:val="000000"/>
          <w:sz w:val="18"/>
        </w:rPr>
        <w:t xml:space="preserve">Total operating income </w:t>
      </w:r>
      <w:r>
        <w:rPr>
          <w:rFonts w:ascii="Arial;sans-serif" w:hAnsi="Arial;sans-serif"/>
          <w:b w:val="false"/>
          <w:color w:val="000000"/>
          <w:sz w:val="18"/>
        </w:rPr>
        <w:t>for the three and six months ended June 30, 2026, was $1.5 billion and $2.9 billion, respectively, compared to $1.0 billion and $1.8 billion, respectively, for the same periods in 2025, and mainly consists of:</w:t>
      </w:r>
    </w:p>
    <w:p>
      <w:pPr>
        <w:pStyle w:val="TextBody"/>
        <w:bidi w:val="0"/>
        <w:spacing w:lineRule="auto" w:line="319" w:before="0" w:after="0"/>
        <w:ind w:left="0" w:right="0" w:hanging="283"/>
        <w:jc w:val="both"/>
        <w:rPr/>
      </w:pPr>
      <w:r>
        <w:rPr>
          <w:color w:val="000000"/>
        </w:rPr>
        <w:t>•</w:t>
      </w:r>
      <w:r>
        <w:rPr>
          <w:rFonts w:ascii="Arial;sans-serif" w:hAnsi="Arial;sans-serif"/>
          <w:b/>
          <w:color w:val="000000"/>
          <w:sz w:val="18"/>
        </w:rPr>
        <w:t xml:space="preserve">Product net sales </w:t>
      </w:r>
      <w:r>
        <w:rPr>
          <w:rFonts w:ascii="Arial;sans-serif" w:hAnsi="Arial;sans-serif"/>
          <w:b w:val="false"/>
          <w:color w:val="000000"/>
          <w:sz w:val="18"/>
        </w:rPr>
        <w:t>of VYVGART for the three and six months ended June 30, 2026, were $1.5 billion and $2.8 billion, respectively, compared to $0.9 billion and $1.7 billion, respectively, for the same periods in 2025.</w:t>
      </w:r>
    </w:p>
    <w:p>
      <w:pPr>
        <w:pStyle w:val="TextBody"/>
        <w:bidi w:val="0"/>
        <w:spacing w:before="0" w:after="0"/>
        <w:ind w:left="0" w:right="0" w:firstLine="475"/>
        <w:jc w:val="both"/>
        <w:rPr/>
      </w:pPr>
      <w:r>
        <w:rPr/>
      </w:r>
    </w:p>
    <w:p>
      <w:pPr>
        <w:pStyle w:val="TextBody"/>
        <w:bidi w:val="0"/>
        <w:spacing w:lineRule="auto" w:line="319" w:before="0" w:after="0"/>
        <w:ind w:left="0" w:right="0" w:hanging="283"/>
        <w:jc w:val="both"/>
        <w:rPr/>
      </w:pPr>
      <w:r>
        <w:rPr>
          <w:color w:val="000000"/>
        </w:rPr>
        <w:t>•</w:t>
      </w:r>
      <w:r>
        <w:rPr>
          <w:rFonts w:ascii="Arial;sans-serif" w:hAnsi="Arial;sans-serif"/>
          <w:b/>
          <w:color w:val="000000"/>
          <w:sz w:val="18"/>
        </w:rPr>
        <w:t xml:space="preserve">Other operating income </w:t>
      </w:r>
      <w:r>
        <w:rPr>
          <w:rFonts w:ascii="Arial;sans-serif" w:hAnsi="Arial;sans-serif"/>
          <w:b w:val="false"/>
          <w:color w:val="000000"/>
          <w:sz w:val="18"/>
        </w:rPr>
        <w:t>for the three and six months ended June 30, 2026, was $26 million and $41 million, respectively, compared to $19 million and $36 million, respectively, for the same periods in 2025. The other operating income for the three and six months ended June 30, 2026 and 2025, primarily relates to research and development tax incentives and payroll tax rebates.</w:t>
      </w:r>
    </w:p>
    <w:p>
      <w:pPr>
        <w:pStyle w:val="TextBody"/>
        <w:bidi w:val="0"/>
        <w:spacing w:before="0" w:after="0"/>
        <w:jc w:val="both"/>
        <w:rPr/>
      </w:pPr>
      <w:r>
        <w:rPr/>
      </w:r>
    </w:p>
    <w:p>
      <w:pPr>
        <w:pStyle w:val="TextBody"/>
        <w:bidi w:val="0"/>
        <w:spacing w:lineRule="auto" w:line="319" w:before="0" w:after="180"/>
        <w:jc w:val="both"/>
        <w:rPr/>
      </w:pPr>
      <w:r>
        <w:rPr>
          <w:rFonts w:ascii="Arial;sans-serif" w:hAnsi="Arial;sans-serif"/>
          <w:b/>
          <w:color w:val="000000"/>
          <w:sz w:val="18"/>
        </w:rPr>
        <w:t xml:space="preserve">Total operating expenses </w:t>
      </w:r>
      <w:r>
        <w:rPr>
          <w:rFonts w:ascii="Arial;sans-serif" w:hAnsi="Arial;sans-serif"/>
          <w:b w:val="false"/>
          <w:color w:val="000000"/>
          <w:sz w:val="18"/>
        </w:rPr>
        <w:t>for the three and six months ended June 30, 2026 were $1.0 billion and $2.0 billion, respectively, compared to $0.8 billion and $1.4 billion, respectively, for the same periods in 2025, and mainly consist of: </w:t>
      </w:r>
    </w:p>
    <w:p>
      <w:pPr>
        <w:pStyle w:val="TextBody"/>
        <w:bidi w:val="0"/>
        <w:spacing w:lineRule="auto" w:line="319" w:before="0" w:after="180"/>
        <w:ind w:left="0" w:right="0" w:hanging="360"/>
        <w:jc w:val="both"/>
        <w:rPr/>
      </w:pPr>
      <w:r>
        <w:rPr>
          <w:color w:val="000000"/>
        </w:rPr>
        <w:t>•</w:t>
      </w:r>
      <w:r>
        <w:rPr>
          <w:rFonts w:ascii="Arial;sans-serif" w:hAnsi="Arial;sans-serif"/>
          <w:b/>
          <w:color w:val="000000"/>
          <w:sz w:val="18"/>
        </w:rPr>
        <w:t>Cost of sales</w:t>
      </w:r>
      <w:r>
        <w:rPr>
          <w:color w:val="000000"/>
        </w:rPr>
        <w:t xml:space="preserve"> </w:t>
      </w:r>
      <w:r>
        <w:rPr>
          <w:rFonts w:ascii="Arial;sans-serif" w:hAnsi="Arial;sans-serif"/>
          <w:b w:val="false"/>
          <w:color w:val="000000"/>
          <w:sz w:val="18"/>
        </w:rPr>
        <w:t>for the three and six months ended June 30, 2026, was $145 million and $266 million, respectively, compared to $111 million and $192 million for the same periods in 2025, respectively. The cost of sales was related to the sale of VYVGART. </w:t>
      </w:r>
    </w:p>
    <w:p>
      <w:pPr>
        <w:pStyle w:val="TextBody"/>
        <w:bidi w:val="0"/>
        <w:spacing w:lineRule="auto" w:line="336" w:before="0" w:after="180"/>
        <w:ind w:left="0" w:right="0" w:hanging="360"/>
        <w:jc w:val="both"/>
        <w:rPr/>
      </w:pPr>
      <w:r>
        <w:rPr>
          <w:color w:val="000000"/>
        </w:rPr>
        <w:t>•</w:t>
      </w:r>
      <w:r>
        <w:rPr>
          <w:rFonts w:ascii="Arial;sans-serif" w:hAnsi="Arial;sans-serif"/>
          <w:b/>
          <w:color w:val="000000"/>
          <w:sz w:val="18"/>
        </w:rPr>
        <w:t>Research and development expenses</w:t>
      </w:r>
      <w:r>
        <w:rPr>
          <w:color w:val="000000"/>
        </w:rPr>
        <w:t xml:space="preserve"> </w:t>
      </w:r>
      <w:r>
        <w:rPr>
          <w:rFonts w:ascii="Arial;sans-serif" w:hAnsi="Arial;sans-serif"/>
          <w:b w:val="false"/>
          <w:color w:val="000000"/>
          <w:sz w:val="18"/>
        </w:rPr>
        <w:t>for the three and six months ended June 30, 2026, were $0.5 billion and $0.9 billion, respectively, compared to $0.3 billion and $0.6 billion, respectively, for the same periods in 2025. The research and development expenses mainly relate to advancing efgartigimod, empasiprubart, and adimanebart across multiple registrational studies, plus early-stage pipeline and preclinical programs.</w:t>
      </w:r>
    </w:p>
    <w:p>
      <w:pPr>
        <w:pStyle w:val="TextBody"/>
        <w:bidi w:val="0"/>
        <w:spacing w:lineRule="auto" w:line="319" w:before="0" w:after="180"/>
        <w:ind w:left="0" w:right="0" w:hanging="360"/>
        <w:jc w:val="both"/>
        <w:rPr/>
      </w:pPr>
      <w:r>
        <w:rPr>
          <w:color w:val="000000"/>
        </w:rPr>
        <w:t>•</w:t>
      </w:r>
      <w:r>
        <w:rPr>
          <w:rFonts w:ascii="Arial;sans-serif" w:hAnsi="Arial;sans-serif"/>
          <w:b/>
          <w:color w:val="000000"/>
          <w:sz w:val="18"/>
        </w:rPr>
        <w:t>Selling, general and administrative expenses</w:t>
      </w:r>
      <w:r>
        <w:rPr>
          <w:color w:val="000000"/>
        </w:rPr>
        <w:t xml:space="preserve"> </w:t>
      </w:r>
      <w:r>
        <w:rPr>
          <w:rFonts w:ascii="Arial;sans-serif" w:hAnsi="Arial;sans-serif"/>
          <w:b w:val="false"/>
          <w:color w:val="000000"/>
          <w:sz w:val="18"/>
        </w:rPr>
        <w:t>for the three and six months ended June 30, 2026, were $0.4 billion and $0.8 billion, respectively, compared to $0.3 billion and $0.6 billion, respectively, for the same periods in 2025. The selling, general and administrative expenses mainly relate to professional and marketing fees linked to the global commercialization of the VYVGART franchise, and personnel expenses.     </w:t>
      </w:r>
    </w:p>
    <w:p>
      <w:pPr>
        <w:pStyle w:val="TextBody"/>
        <w:bidi w:val="0"/>
        <w:spacing w:lineRule="auto" w:line="300" w:before="0" w:after="0"/>
        <w:jc w:val="both"/>
        <w:rPr/>
      </w:pPr>
      <w:r>
        <w:rPr>
          <w:rFonts w:ascii="Arial;sans-serif" w:hAnsi="Arial;sans-serif"/>
          <w:b/>
          <w:color w:val="000000"/>
          <w:sz w:val="18"/>
        </w:rPr>
        <w:t>Financial income</w:t>
      </w:r>
      <w:r>
        <w:rPr>
          <w:color w:val="000000"/>
        </w:rPr>
        <w:t xml:space="preserve"> </w:t>
      </w:r>
      <w:r>
        <w:rPr>
          <w:rFonts w:ascii="Arial;sans-serif" w:hAnsi="Arial;sans-serif"/>
          <w:b w:val="false"/>
          <w:color w:val="000000"/>
          <w:sz w:val="18"/>
        </w:rPr>
        <w:t xml:space="preserve">for the three and six months ended June 30, 2026, was $48 million and $92 million, respectively, compared to $38 million and $76 million, respectively, for the same periods in 2025. </w:t>
      </w:r>
    </w:p>
    <w:p>
      <w:pPr>
        <w:pStyle w:val="TextBody"/>
        <w:bidi w:val="0"/>
        <w:spacing w:before="0" w:after="0"/>
        <w:jc w:val="both"/>
        <w:rPr/>
      </w:pPr>
      <w:r>
        <w:rPr/>
      </w:r>
    </w:p>
    <w:p>
      <w:pPr>
        <w:pStyle w:val="TextBody"/>
        <w:bidi w:val="0"/>
        <w:spacing w:lineRule="auto" w:line="288" w:before="0" w:after="180"/>
        <w:jc w:val="both"/>
        <w:rPr/>
      </w:pPr>
      <w:r>
        <w:rPr>
          <w:rFonts w:ascii="Arial;sans-serif" w:hAnsi="Arial;sans-serif"/>
          <w:b/>
          <w:color w:val="000000"/>
          <w:sz w:val="18"/>
        </w:rPr>
        <w:t>Income tax</w:t>
      </w:r>
      <w:r>
        <w:rPr>
          <w:color w:val="000000"/>
        </w:rPr>
        <w:t xml:space="preserve"> </w:t>
      </w:r>
      <w:r>
        <w:rPr>
          <w:rFonts w:ascii="Arial;sans-serif" w:hAnsi="Arial;sans-serif"/>
          <w:b w:val="false"/>
          <w:color w:val="000000"/>
          <w:sz w:val="18"/>
        </w:rPr>
        <w:t>for the three and six months ended June 30, 2026 and 2025 is detailed below:</w:t>
      </w:r>
    </w:p>
    <w:tbl>
      <w:tblPr>
        <w:tblW w:w="7343" w:type="dxa"/>
        <w:jc w:val="left"/>
        <w:tblInd w:w="0" w:type="dxa"/>
        <w:tblLayout w:type="fixed"/>
        <w:tblCellMar>
          <w:top w:w="28" w:type="dxa"/>
          <w:left w:w="28" w:type="dxa"/>
          <w:bottom w:w="28" w:type="dxa"/>
          <w:right w:w="28" w:type="dxa"/>
        </w:tblCellMar>
      </w:tblPr>
      <w:tblGrid>
        <w:gridCol w:w="853"/>
        <w:gridCol w:w="750"/>
        <w:gridCol w:w="751"/>
        <w:gridCol w:w="109"/>
        <w:gridCol w:w="109"/>
        <w:gridCol w:w="109"/>
        <w:gridCol w:w="117"/>
        <w:gridCol w:w="117"/>
        <w:gridCol w:w="117"/>
        <w:gridCol w:w="248"/>
        <w:gridCol w:w="248"/>
        <w:gridCol w:w="117"/>
        <w:gridCol w:w="117"/>
        <w:gridCol w:w="117"/>
        <w:gridCol w:w="117"/>
        <w:gridCol w:w="117"/>
        <w:gridCol w:w="117"/>
        <w:gridCol w:w="117"/>
        <w:gridCol w:w="203"/>
        <w:gridCol w:w="203"/>
        <w:gridCol w:w="117"/>
        <w:gridCol w:w="109"/>
        <w:gridCol w:w="109"/>
        <w:gridCol w:w="109"/>
        <w:gridCol w:w="109"/>
        <w:gridCol w:w="109"/>
        <w:gridCol w:w="109"/>
        <w:gridCol w:w="248"/>
        <w:gridCol w:w="248"/>
        <w:gridCol w:w="109"/>
        <w:gridCol w:w="109"/>
        <w:gridCol w:w="109"/>
        <w:gridCol w:w="109"/>
        <w:gridCol w:w="109"/>
        <w:gridCol w:w="109"/>
        <w:gridCol w:w="109"/>
        <w:gridCol w:w="203"/>
        <w:gridCol w:w="203"/>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 June,</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benefit/(expense)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180"/>
        <w:jc w:val="both"/>
        <w:rPr/>
      </w:pPr>
      <w:r>
        <w:rPr>
          <w:rFonts w:ascii="Arial;sans-serif" w:hAnsi="Arial;sans-serif"/>
          <w:b/>
          <w:color w:val="000000"/>
          <w:sz w:val="18"/>
        </w:rPr>
        <w:t xml:space="preserve">Profit </w:t>
      </w:r>
      <w:r>
        <w:rPr>
          <w:rFonts w:ascii="Arial;sans-serif" w:hAnsi="Arial;sans-serif"/>
          <w:b w:val="false"/>
          <w:color w:val="000000"/>
          <w:sz w:val="18"/>
        </w:rPr>
        <w:t>for the three and six-month periods ended June 30, 2026, was $0.5 billion and $0.8 billion, respectively, compared to a profit of $0.2 billion and $0.4 billion, respectively, for the same periods in 2025. The basic profit per share was $7.58 for the three months ended June 30, 2026, compared to a basic profit per share of $4.02 for the same period in 2025. The basic profit per share was $13.47 for the six months ended June 30, 2026, compared to a basic profit per share of $6.80 for the same period in 2025.</w:t>
      </w:r>
    </w:p>
    <w:p>
      <w:pPr>
        <w:pStyle w:val="TextBody"/>
        <w:bidi w:val="0"/>
        <w:spacing w:lineRule="auto" w:line="336" w:before="0" w:after="180"/>
        <w:jc w:val="both"/>
        <w:rPr/>
      </w:pPr>
      <w:r>
        <w:rPr>
          <w:rFonts w:ascii="Arial;sans-serif" w:hAnsi="Arial;sans-serif"/>
          <w:b/>
          <w:color w:val="000000"/>
          <w:sz w:val="18"/>
        </w:rPr>
        <w:t xml:space="preserve">Cash flow from operating activities </w:t>
      </w:r>
      <w:r>
        <w:rPr>
          <w:rFonts w:ascii="Arial;sans-serif" w:hAnsi="Arial;sans-serif"/>
          <w:b w:val="false"/>
          <w:color w:val="000000"/>
          <w:sz w:val="18"/>
        </w:rPr>
        <w:t>for the six months ended June 30, 2026 was $0.7 billion compared to a cash flow used in operating activities for the same period in 2025 of $0.4 billion.</w:t>
      </w:r>
    </w:p>
    <w:p>
      <w:pPr>
        <w:pStyle w:val="TextBody"/>
        <w:bidi w:val="0"/>
        <w:spacing w:before="0" w:after="180"/>
        <w:jc w:val="left"/>
        <w:rPr/>
      </w:pPr>
      <w:r>
        <w:rPr/>
        <w:drawing>
          <wp:inline distT="0" distB="0" distL="0" distR="0">
            <wp:extent cx="1295400" cy="40005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10"/>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13" name="Frame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336" w:before="0" w:after="180"/>
        <w:jc w:val="both"/>
        <w:rPr/>
      </w:pPr>
      <w:r>
        <w:rPr>
          <w:rFonts w:ascii="Arial;sans-serif" w:hAnsi="Arial;sans-serif"/>
          <w:b/>
          <w:color w:val="000000"/>
          <w:sz w:val="18"/>
        </w:rPr>
        <w:t>Cash, cash equivalents and current financial assets</w:t>
      </w:r>
      <w:r>
        <w:rPr>
          <w:rFonts w:ascii="Arial;sans-serif" w:hAnsi="Arial;sans-serif"/>
          <w:b/>
          <w:color w:val="000000"/>
          <w:sz w:val="12"/>
        </w:rPr>
        <w:t>1</w:t>
      </w:r>
      <w:r>
        <w:rPr>
          <w:color w:val="000000"/>
        </w:rPr>
        <w:t xml:space="preserve"> </w:t>
      </w:r>
      <w:r>
        <w:rPr>
          <w:rFonts w:ascii="Arial;sans-serif" w:hAnsi="Arial;sans-serif"/>
          <w:b w:val="false"/>
          <w:color w:val="000000"/>
          <w:sz w:val="18"/>
        </w:rPr>
        <w:t>consisted of $3.6 billion in cash, cash equivalents and $1.6 billion in current financial assets which totaled $5.2 billion as of June 30, 2026, compared to $3.5 billion in cash and cash equivalents and $0.9 billion in current financial assets which totaled $4.4 billion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80"/>
        <w:jc w:val="both"/>
        <w:rPr>
          <w:rFonts w:ascii="Arial;sans-serif" w:hAnsi="Arial;sans-serif"/>
          <w:b/>
          <w:color w:val="000000"/>
          <w:sz w:val="18"/>
        </w:rPr>
      </w:pPr>
      <w:r>
        <w:rPr>
          <w:rFonts w:ascii="Arial;sans-serif" w:hAnsi="Arial;sans-serif"/>
          <w:b/>
          <w:color w:val="000000"/>
          <w:sz w:val="18"/>
        </w:rPr>
        <w:t>EXPECTED FINANCIAL CALENDAR</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October 22, 2026: Third Quarter 2026 Financial Results and Business Update</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8"/>
        </w:rPr>
        <w:t xml:space="preserve">February 25, 2027: Full-year 2026 Financial Results and Fourth Quarter 2026 Business Update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80"/>
        <w:jc w:val="both"/>
        <w:rPr>
          <w:rFonts w:ascii="Arial;sans-serif" w:hAnsi="Arial;sans-serif"/>
          <w:b/>
          <w:color w:val="000000"/>
          <w:sz w:val="18"/>
        </w:rPr>
      </w:pPr>
      <w:r>
        <w:rPr>
          <w:rFonts w:ascii="Arial;sans-serif" w:hAnsi="Arial;sans-serif"/>
          <w:b/>
          <w:color w:val="000000"/>
          <w:sz w:val="18"/>
        </w:rPr>
        <w:t>CONFERENCE CALL DETAILS</w:t>
      </w:r>
    </w:p>
    <w:p>
      <w:pPr>
        <w:pStyle w:val="TextBody"/>
        <w:bidi w:val="0"/>
        <w:spacing w:lineRule="auto" w:line="319" w:before="0" w:after="0"/>
        <w:jc w:val="both"/>
        <w:rPr/>
      </w:pPr>
      <w:r>
        <w:rPr>
          <w:rFonts w:ascii="Arial;sans-serif" w:hAnsi="Arial;sans-serif"/>
          <w:b w:val="false"/>
          <w:color w:val="000000"/>
          <w:sz w:val="18"/>
        </w:rPr>
        <w:t xml:space="preserve">The half-year 2026 financial results and second quarter business update will be discussed during a conference call and webcast presentation today at 2:30 PM CET/8:30 AM ET. A webcast of the live call may be accessed on the Investors section of the argenx website at </w:t>
      </w:r>
      <w:r>
        <w:rPr>
          <w:rFonts w:ascii="Arial;sans-serif" w:hAnsi="Arial;sans-serif"/>
          <w:b w:val="false"/>
          <w:color w:val="0563C1"/>
          <w:sz w:val="18"/>
          <w:u w:val="single"/>
        </w:rPr>
        <w:t>argenx.com/investors</w:t>
      </w:r>
      <w:r>
        <w:rPr>
          <w:rFonts w:ascii="Arial;sans-serif" w:hAnsi="Arial;sans-serif"/>
          <w:b w:val="false"/>
          <w:color w:val="000000"/>
          <w:sz w:val="18"/>
        </w:rPr>
        <w:t xml:space="preserve">.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Participants can access the conference call by dialing 800-590-8290 (United States and Canada) or 240-690-8800 (International). Country specific dial-in numbers are listed below:</w:t>
      </w:r>
    </w:p>
    <w:tbl>
      <w:tblPr>
        <w:tblW w:w="3605" w:type="dxa"/>
        <w:jc w:val="left"/>
        <w:tblInd w:w="0" w:type="dxa"/>
        <w:tblLayout w:type="fixed"/>
        <w:tblCellMar>
          <w:top w:w="28" w:type="dxa"/>
          <w:left w:w="28" w:type="dxa"/>
          <w:bottom w:w="28" w:type="dxa"/>
          <w:right w:w="28" w:type="dxa"/>
        </w:tblCellMar>
      </w:tblPr>
      <w:tblGrid>
        <w:gridCol w:w="455"/>
        <w:gridCol w:w="401"/>
        <w:gridCol w:w="404"/>
        <w:gridCol w:w="439"/>
        <w:gridCol w:w="439"/>
        <w:gridCol w:w="441"/>
        <w:gridCol w:w="109"/>
        <w:gridCol w:w="109"/>
        <w:gridCol w:w="109"/>
        <w:gridCol w:w="109"/>
        <w:gridCol w:w="109"/>
        <w:gridCol w:w="109"/>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Belgium</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32 2290 4635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33 172 001717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Netherlands</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31 20 795 2683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Kingdom</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44 203 393 1560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Japan</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81 3 4520 9761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Switzerland</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41 43 210 51 68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i/>
          <w:color w:val="000000"/>
          <w:sz w:val="18"/>
        </w:rPr>
      </w:pPr>
      <w:r>
        <w:rPr>
          <w:rFonts w:ascii="Arial;sans-serif" w:hAnsi="Arial;sans-serif"/>
          <w:b w:val="false"/>
          <w:i/>
          <w:color w:val="000000"/>
          <w:sz w:val="18"/>
        </w:rPr>
        <w:t>Use the access code 3810049 to join the call. Please dial in 15 minutes prior to the live call.</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A replay of the webcast will be available on the argenx website.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80"/>
        <w:jc w:val="both"/>
        <w:rPr>
          <w:rFonts w:ascii="Arial;sans-serif" w:hAnsi="Arial;sans-serif"/>
          <w:b/>
          <w:color w:val="000000"/>
          <w:sz w:val="18"/>
        </w:rPr>
      </w:pPr>
      <w:r>
        <w:rPr>
          <w:rFonts w:ascii="Arial;sans-serif" w:hAnsi="Arial;sans-serif"/>
          <w:b/>
          <w:color w:val="000000"/>
          <w:sz w:val="18"/>
        </w:rPr>
        <w:t>About VYVGART</w:t>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VYVGART® (efgartigimod alfa fcab) is a first-in-class human IgG1 antibody fragment that binds to the neonatal Fc receptor (FcRn), resulting in the reduction of circulating IgG autoantibodies. VYVGART Hytrulo® is a subcutaneous combination of efgartigimod alfa (VYVGART) and recombinant human hyaluronidase PH20 (rHuPH20), Halozyme’s ENHANZE® drug delivery technology to facilitate subcutaneous injection delivery of biologics. VYVGART is approved for generalized myasthenia gravis (gMG) and immune thrombocytopenia (Japan only). VYVGART Hytrulo is approved for gMG and chronic inflammatory demyelinating polyneuropathy (CIDP). VYVGART Hytrulo may be marketed under different proprietary names in other regions.</w:t>
      </w:r>
    </w:p>
    <w:p>
      <w:pPr>
        <w:pStyle w:val="TextBody"/>
        <w:bidi w:val="0"/>
        <w:spacing w:before="0" w:after="0"/>
        <w:jc w:val="both"/>
        <w:rPr/>
      </w:pPr>
      <w:r>
        <w:rPr/>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About argenx</w:t>
      </w:r>
    </w:p>
    <w:p>
      <w:pPr>
        <w:pStyle w:val="TextBody"/>
        <w:bidi w:val="0"/>
        <w:spacing w:lineRule="auto" w:line="319" w:before="0" w:after="0"/>
        <w:jc w:val="both"/>
        <w:rPr/>
      </w:pPr>
      <w:r>
        <w:rPr>
          <w:rFonts w:ascii="Arial;sans-serif" w:hAnsi="Arial;sans-serif"/>
          <w:b w:val="false"/>
          <w:color w:val="000000"/>
          <w:sz w:val="18"/>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Arial;sans-serif" w:hAnsi="Arial;sans-serif"/>
          <w:b w:val="false"/>
          <w:color w:val="0563C1"/>
          <w:sz w:val="18"/>
          <w:u w:val="single"/>
        </w:rPr>
        <w:t>www.argenx.com</w:t>
      </w:r>
      <w:r>
        <w:rPr>
          <w:color w:val="000000"/>
        </w:rPr>
        <w:t xml:space="preserve"> </w:t>
      </w:r>
      <w:r>
        <w:rPr>
          <w:rFonts w:ascii="Arial;sans-serif" w:hAnsi="Arial;sans-serif"/>
          <w:b w:val="false"/>
          <w:color w:val="000000"/>
          <w:sz w:val="18"/>
        </w:rPr>
        <w:t xml:space="preserve">and follow us on </w:t>
      </w:r>
      <w:r>
        <w:rPr>
          <w:rFonts w:ascii="Arial;sans-serif" w:hAnsi="Arial;sans-serif"/>
          <w:b w:val="false"/>
          <w:color w:val="0563C1"/>
          <w:sz w:val="18"/>
          <w:u w:val="single"/>
        </w:rPr>
        <w:t>LinkedIn</w:t>
      </w:r>
      <w:r>
        <w:rPr>
          <w:rFonts w:ascii="Arial;sans-serif" w:hAnsi="Arial;sans-serif"/>
          <w:b w:val="false"/>
          <w:color w:val="000000"/>
          <w:sz w:val="18"/>
        </w:rPr>
        <w:t xml:space="preserve">, </w:t>
      </w:r>
      <w:r>
        <w:rPr>
          <w:rFonts w:ascii="Arial;sans-serif" w:hAnsi="Arial;sans-serif"/>
          <w:b w:val="false"/>
          <w:color w:val="0563C1"/>
          <w:sz w:val="18"/>
          <w:u w:val="single"/>
        </w:rPr>
        <w:t>Instagram</w:t>
      </w:r>
      <w:r>
        <w:rPr>
          <w:rFonts w:ascii="Arial;sans-serif" w:hAnsi="Arial;sans-serif"/>
          <w:b w:val="false"/>
          <w:color w:val="000000"/>
          <w:sz w:val="18"/>
        </w:rPr>
        <w:t xml:space="preserve">, </w:t>
      </w:r>
      <w:r>
        <w:rPr>
          <w:rFonts w:ascii="Arial;sans-serif" w:hAnsi="Arial;sans-serif"/>
          <w:b w:val="false"/>
          <w:color w:val="0563C1"/>
          <w:sz w:val="18"/>
          <w:u w:val="single"/>
        </w:rPr>
        <w:t>Facebook</w:t>
      </w:r>
      <w:r>
        <w:rPr>
          <w:rFonts w:ascii="Arial;sans-serif" w:hAnsi="Arial;sans-serif"/>
          <w:b w:val="false"/>
          <w:color w:val="000000"/>
          <w:sz w:val="18"/>
        </w:rPr>
        <w:t xml:space="preserve">, and </w:t>
      </w:r>
      <w:r>
        <w:rPr>
          <w:rFonts w:ascii="Arial;sans-serif" w:hAnsi="Arial;sans-serif"/>
          <w:b w:val="false"/>
          <w:color w:val="0563C1"/>
          <w:sz w:val="18"/>
          <w:u w:val="single"/>
        </w:rPr>
        <w:t>YouTube</w:t>
      </w:r>
      <w:r>
        <w:rPr>
          <w:rFonts w:ascii="Arial;sans-serif" w:hAnsi="Arial;sans-serif"/>
          <w:b w:val="false"/>
          <w:color w:val="000000"/>
          <w:sz w:val="18"/>
        </w:rPr>
        <w:t xml:space="preserve">.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18"/>
        </w:rPr>
      </w:pPr>
      <w:r>
        <w:rPr>
          <w:rFonts w:ascii="Arial;sans-serif" w:hAnsi="Arial;sans-serif"/>
          <w:b/>
          <w:color w:val="000000"/>
          <w:sz w:val="18"/>
        </w:rPr>
        <w:t>This press release contains inside information within the meaning of Article 7(1) of the EU Market Abuse Regulation (Regulation 596/2014).</w:t>
      </w:r>
    </w:p>
    <w:p>
      <w:pPr>
        <w:pStyle w:val="TextBody"/>
        <w:bidi w:val="0"/>
        <w:spacing w:before="0" w:after="180"/>
        <w:jc w:val="both"/>
        <w:rPr/>
      </w:pPr>
      <w:r>
        <w:rPr/>
      </w:r>
    </w:p>
    <w:p>
      <w:pPr>
        <w:pStyle w:val="TextBody"/>
        <w:bidi w:val="0"/>
        <w:spacing w:before="0" w:after="180"/>
        <w:jc w:val="both"/>
        <w:rPr/>
      </w:pPr>
      <w:r>
        <w:rPr/>
      </w:r>
    </w:p>
    <w:p>
      <w:pPr>
        <w:pStyle w:val="TextBody"/>
        <w:bidi w:val="0"/>
        <w:spacing w:lineRule="auto" w:line="288" w:before="0" w:after="18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 non-IFRS Alternative Performance Measure (APM). Refer to the “Alternative Performance Measures Statement” below for a reconciliation to the IFRS financial information.</w:t>
      </w:r>
    </w:p>
    <w:p>
      <w:pPr>
        <w:pStyle w:val="TextBody"/>
        <w:bidi w:val="0"/>
        <w:spacing w:before="0" w:after="180"/>
        <w:jc w:val="left"/>
        <w:rPr/>
      </w:pPr>
      <w:r>
        <w:rPr/>
        <w:drawing>
          <wp:inline distT="0" distB="0" distL="0" distR="0">
            <wp:extent cx="1295400" cy="40005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11"/>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15"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 xml:space="preserve">Contacts: </w:t>
      </w:r>
    </w:p>
    <w:p>
      <w:pPr>
        <w:pStyle w:val="TextBody"/>
        <w:bidi w:val="0"/>
        <w:spacing w:lineRule="auto" w:line="319" w:before="0" w:after="0"/>
        <w:jc w:val="both"/>
        <w:rPr>
          <w:rFonts w:ascii="Arial;sans-serif" w:hAnsi="Arial;sans-serif"/>
          <w:b/>
          <w:color w:val="000000"/>
          <w:sz w:val="18"/>
        </w:rPr>
      </w:pPr>
      <w:r>
        <w:rPr>
          <w:rFonts w:ascii="Arial;sans-serif" w:hAnsi="Arial;sans-serif"/>
          <w:b/>
          <w:color w:val="000000"/>
          <w:sz w:val="18"/>
        </w:rPr>
        <w:t>Media:</w:t>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Ben Petok</w:t>
      </w:r>
    </w:p>
    <w:p>
      <w:pPr>
        <w:pStyle w:val="TextBody"/>
        <w:bidi w:val="0"/>
        <w:spacing w:lineRule="auto" w:line="288" w:before="0" w:after="180"/>
        <w:jc w:val="left"/>
        <w:rPr>
          <w:rFonts w:ascii="Arial;sans-serif" w:hAnsi="Arial;sans-serif"/>
          <w:b w:val="false"/>
          <w:color w:val="0563C1"/>
          <w:sz w:val="18"/>
          <w:u w:val="single"/>
        </w:rPr>
      </w:pPr>
      <w:r>
        <w:rPr>
          <w:rFonts w:ascii="Arial;sans-serif" w:hAnsi="Arial;sans-serif"/>
          <w:b w:val="false"/>
          <w:color w:val="0563C1"/>
          <w:sz w:val="18"/>
          <w:u w:val="single"/>
        </w:rPr>
        <w:t>bpetok@argenx.com</w:t>
      </w:r>
    </w:p>
    <w:p>
      <w:pPr>
        <w:pStyle w:val="TextBody"/>
        <w:bidi w:val="0"/>
        <w:spacing w:lineRule="auto" w:line="319" w:before="0" w:after="0"/>
        <w:jc w:val="both"/>
        <w:rPr>
          <w:rFonts w:ascii="Arial;sans-serif" w:hAnsi="Arial;sans-serif"/>
          <w:b/>
          <w:color w:val="000000"/>
          <w:sz w:val="18"/>
        </w:rPr>
      </w:pPr>
      <w:r>
        <w:rPr>
          <w:rFonts w:ascii="Arial;sans-serif" w:hAnsi="Arial;sans-serif"/>
          <w:b/>
          <w:color w:val="000000"/>
          <w:sz w:val="18"/>
        </w:rPr>
        <w:t>Investors:</w:t>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 xml:space="preserve">Alexandra Roy </w:t>
      </w:r>
    </w:p>
    <w:p>
      <w:pPr>
        <w:pStyle w:val="TextBody"/>
        <w:bidi w:val="0"/>
        <w:spacing w:lineRule="auto" w:line="288" w:before="0" w:after="180"/>
        <w:jc w:val="left"/>
        <w:rPr>
          <w:rFonts w:ascii="Arial;sans-serif" w:hAnsi="Arial;sans-serif"/>
          <w:b w:val="false"/>
          <w:color w:val="0563C1"/>
          <w:sz w:val="18"/>
          <w:u w:val="single"/>
        </w:rPr>
      </w:pPr>
      <w:r>
        <w:rPr>
          <w:rFonts w:ascii="Arial;sans-serif" w:hAnsi="Arial;sans-serif"/>
          <w:b w:val="false"/>
          <w:color w:val="0563C1"/>
          <w:sz w:val="18"/>
          <w:u w:val="single"/>
        </w:rPr>
        <w:t>aroy@argenx.com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Forward Looking Statements </w:t>
      </w:r>
    </w:p>
    <w:p>
      <w:pPr>
        <w:pStyle w:val="TextBody"/>
        <w:bidi w:val="0"/>
        <w:spacing w:lineRule="auto" w:line="319" w:before="0" w:after="18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contents of this announcement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initiation, timing, progress, development and results of preclinical and clinical trials of argenx’s product candidates, including new indications, alternative dosing regimens, treatment modalities, and methods of administration, including statements regarding when results or interim analysis of the clinical trials will be available or made public; the expansion of argenx’s business, including the further development of argenx’s sales and marketing abilities and its Immunology Innovation Program, and the value of its pipeline; the potential attributes, benefits, and side effects of argenx’s products and product candidates, including new indications, alternative dosing regimens and treatment modalities, and their competitive position with respect to other alternative treatments; argenx’s ability to advance product candidates into, and successfully complete, clinical trials; argenx’s estimates of the number of patients who suffer from the diseases it is targeting and the number of patients that will enroll in its clinical trials; the demand and commercialization of argenx’s products and product candidates, including new indications, alternative dosing regimens, treatment modalities, and methods of administration, if approved; the anticipated timing or likelihood of market or regulatory decisions relating to or of argenx’s products, including new indications, alternative dosing regimens, treatment modalities, and methods of administration; the anticipated pricing and reimbursement of argenx’s products and product candidates, if approved; argenx’s plans to have various programs to help patients afford its products, including patient assistance and co-pay coupon programs for eligible patients; argenx’s ability to establish sales, marketing and distribution capabilities for any of its products and product candidates that achieve regulatory approval; argenx’s regulatory strategy and its ability to establish and maintain manufacturing arrangements for its products and product candidates; the scope and duration of protection, including any exclusivity period, argenx is able to establish and maintain for intellectual property rights covering its products and product candidates, platform and technology, including its intention to seek patent term extensions where available; argenx’s estimates regarding expenses, future revenues, cash flow, capital requirements and its needs for additional financing; argenx’s expectation that it will benefit from the Belgian innovation income deduction; argenx’s financial performance, including potential volatility in the price of its ordinary shares and American Depositary Shares; the competition argenx faces in its drug discovery, development, and commercialization efforts; the rate and degree of market acceptance of argenx’s products and product candidates, if approved, by its patients as safe, effective and cost-effective; the potential benefits of argenx’s current collaborations, including the possibility to access partner technology platforms or capabilities; argenx’s plans and ability to enter into or maintain current collaborations for additional programs or product candidates; argenx’s plans and ability to enter into or maintain current new distribution partnerships; argenx’s long-term growth strategy to develop and market additional products and product candidates, including efgartigimod for new indications, empasiprubart and adimanebart; the impact of government laws and regulations, including tariffs, export controls, sanctions and other regulations on argenx’s business; argenx’s expectations with respect to the timing and amount of any dividends (if any); argenx’s plans regarding its supply chain, including its reliance on third parties, service providers and manufacturers; inflation and deflation and the corresponding fluctuations in interest rates; regional instability and conflicts; and argenx’s business strategies, including Vision 2030, plans, projects, goals and targets and the timing, outcomes and benefits thereof. A further list and description of these and other risks, </w:t>
      </w:r>
    </w:p>
    <w:p>
      <w:pPr>
        <w:pStyle w:val="TextBody"/>
        <w:bidi w:val="0"/>
        <w:spacing w:before="0" w:after="180"/>
        <w:jc w:val="left"/>
        <w:rPr/>
      </w:pPr>
      <w:r>
        <w:rPr/>
        <w:drawing>
          <wp:inline distT="0" distB="0" distL="0" distR="0">
            <wp:extent cx="1295400" cy="40005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2"/>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17"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319" w:before="0" w:after="18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uncertainties, and factors that could cause actual results to differ materially from those referred to in the forward-looking statements can be found in argenx’s U.S. Securities and Exchange Commission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press release. argenx undertakes no obligation to publicly update or revise the information in this press release, including any forward-looking statements, except as may be required by law.</w:t>
      </w:r>
    </w:p>
    <w:p>
      <w:pPr>
        <w:pStyle w:val="TextBody"/>
        <w:bidi w:val="0"/>
        <w:spacing w:before="0" w:after="0"/>
        <w:jc w:val="both"/>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Alternative Performance Measures Statement</w:t>
      </w:r>
    </w:p>
    <w:p>
      <w:pPr>
        <w:pStyle w:val="TextBody"/>
        <w:bidi w:val="0"/>
        <w:spacing w:lineRule="auto" w:line="319" w:before="0" w:after="18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this document, argenx's financial results are provided in accordance with IFRS® Accounting Standards (IFRS) and using a non-IFRS financial measure, cash, cash equivalents and current financial assets.</w:t>
      </w:r>
    </w:p>
    <w:p>
      <w:pPr>
        <w:pStyle w:val="TextBody"/>
        <w:bidi w:val="0"/>
        <w:spacing w:lineRule="auto" w:line="319" w:before="0" w:after="18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This value should not be viewed as a substitute for the company’s IFRS financial information and is provided as a complement to financial information provided in accordance with IFRS and should be read in conjunction with the most directly comparable IFRS financial information as set out below.</w:t>
      </w:r>
    </w:p>
    <w:p>
      <w:pPr>
        <w:pStyle w:val="TextBody"/>
        <w:bidi w:val="0"/>
        <w:spacing w:lineRule="auto" w:line="319" w:before="0" w:after="18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Management believes this non-IFRS financial measure is useful for securities analysts, investors and other interested parties to gain a more complete understanding of the company's available financial liquidities given that the company’s current financial assets are held in term accounts with an initial maturity of more than three months but less than twelve that may be used to meet its financial obligations. Such non-IFRS financial information, as calculated herein, may not be comparable to similarly named measures used by other companies and should not be considered comparable to IFRS financial measures. Non-IFRS financial measures have limitations as an analytical tool and should not be considered in isolation from, or as a substitute for, an analysis of the company's financial results as reported under IFRS.</w:t>
      </w:r>
    </w:p>
    <w:p>
      <w:pPr>
        <w:pStyle w:val="TextBody"/>
        <w:bidi w:val="0"/>
        <w:spacing w:lineRule="auto" w:line="319" w:before="0" w:after="18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 reconciliation of the IFRS financial information to non-IFRS financial information is included below:</w:t>
      </w:r>
    </w:p>
    <w:p>
      <w:pPr>
        <w:pStyle w:val="TextBody"/>
        <w:bidi w:val="0"/>
        <w:spacing w:lineRule="auto" w:line="319" w:before="0" w:after="18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Cash, cash equivalents and current financial assets totaled $5.2 billion as of June 30, 2026, compared to $4.4 billion as of December 31, 2025. The balance as of the period ended June 30, 2026 consisted of $3.6 billion in cash, cash equivalents and $1.6 billion in current financial assets and the balance as of the period ended December 31, 2025 consisted of $3.5 billion in cash and cash equivalents and $0.9 billion in current financial assets.</w:t>
      </w:r>
    </w:p>
    <w:p>
      <w:pPr>
        <w:pStyle w:val="TextBody"/>
        <w:bidi w:val="0"/>
        <w:spacing w:before="0" w:after="180"/>
        <w:jc w:val="left"/>
        <w:rPr/>
      </w:pPr>
      <w:r>
        <w:rPr/>
      </w:r>
    </w:p>
    <w:p>
      <w:pPr>
        <w:pStyle w:val="TextBody"/>
        <w:bidi w:val="0"/>
        <w:spacing w:before="0" w:after="0"/>
        <w:jc w:val="left"/>
        <w:rPr/>
      </w:pPr>
      <w:bookmarkStart w:id="0" w:name="argx-20260630_d2.htm"/>
      <w:bookmarkStart w:id="1" w:name="ksargx20260630_d2"/>
      <w:bookmarkEnd w:id="0"/>
      <w:bookmarkEnd w:id="1"/>
      <w:r>
        <w:rPr/>
        <w:drawing>
          <wp:inline distT="0" distB="0" distL="0" distR="0">
            <wp:extent cx="8001000" cy="1035494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3"/>
                    <a:stretch>
                      <a:fillRect/>
                    </a:stretch>
                  </pic:blipFill>
                  <pic:spPr bwMode="auto">
                    <a:xfrm>
                      <a:off x="0" y="0"/>
                      <a:ext cx="8001000" cy="10354945"/>
                    </a:xfrm>
                    <a:prstGeom prst="rect">
                      <a:avLst/>
                    </a:prstGeom>
                  </pic:spPr>
                </pic:pic>
              </a:graphicData>
            </a:graphic>
          </wp:inline>
        </w:drawing>
      </w:r>
      <w:bookmarkStart w:id="2" w:name="i-1"/>
      <w:bookmarkEnd w:id="2"/>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8650"/>
                <wp:effectExtent l="0" t="0" r="0" b="0"/>
                <wp:wrapNone/>
                <wp:docPr id="19"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560" w:before="0" w:after="0"/>
        <w:jc w:val="left"/>
        <w:rPr>
          <w:rFonts w:ascii="Arial;sans-serif" w:hAnsi="Arial;sans-serif"/>
          <w:b/>
          <w:i w:val="false"/>
          <w:caps w:val="false"/>
          <w:smallCaps w:val="false"/>
          <w:strike w:val="false"/>
          <w:dstrike w:val="false"/>
          <w:color w:val="91C353"/>
          <w:sz w:val="56"/>
          <w:u w:val="none"/>
          <w:effect w:val="none"/>
        </w:rPr>
      </w:pPr>
      <w:r>
        <w:rPr>
          <w:rFonts w:ascii="Arial;sans-serif" w:hAnsi="Arial;sans-serif"/>
          <w:b/>
          <w:i w:val="false"/>
          <w:caps w:val="false"/>
          <w:smallCaps w:val="false"/>
          <w:strike w:val="false"/>
          <w:dstrike w:val="false"/>
          <w:color w:val="91C353"/>
          <w:sz w:val="56"/>
          <w:u w:val="none"/>
          <w:effect w:val="none"/>
        </w:rPr>
        <w:t>2026</w:t>
      </w:r>
      <w:bookmarkStart w:id="3" w:name="i7b255d849d7349d1a5cf269c2bf376b5"/>
      <w:bookmarkEnd w:id="3"/>
    </w:p>
    <w:p>
      <w:pPr>
        <w:pStyle w:val="TextBody"/>
        <w:bidi w:val="0"/>
        <w:spacing w:lineRule="atLeast" w:line="560" w:before="0" w:after="0"/>
        <w:jc w:val="left"/>
        <w:rPr/>
      </w:pPr>
      <w:r>
        <w:rPr>
          <w:rFonts w:ascii="Arial;sans-serif" w:hAnsi="Arial;sans-serif"/>
          <w:b/>
          <w:i w:val="false"/>
          <w:caps w:val="false"/>
          <w:smallCaps w:val="false"/>
          <w:strike w:val="false"/>
          <w:dstrike w:val="false"/>
          <w:color w:val="91C353"/>
          <w:sz w:val="56"/>
          <w:u w:val="none"/>
          <w:effect w:val="none"/>
        </w:rPr>
        <w:t>Half-Year</w:t>
      </w:r>
      <w:bookmarkStart w:id="4" w:name="ifde836ff76204db6a47535145edb0015"/>
      <w:bookmarkEnd w:id="4"/>
      <w:r>
        <w:rPr>
          <w:caps w:val="false"/>
          <w:smallCaps w:val="false"/>
          <w:strike w:val="false"/>
          <w:dstrike w:val="false"/>
          <w:color w:val="91C353"/>
          <w:u w:val="none"/>
          <w:effect w:val="none"/>
        </w:rPr>
        <w:t xml:space="preserve"> </w:t>
      </w:r>
      <w:bookmarkStart w:id="5" w:name="i82ca82182c944097ac32f304df7394b8"/>
      <w:bookmarkEnd w:id="5"/>
    </w:p>
    <w:p>
      <w:pPr>
        <w:pStyle w:val="TextBody"/>
        <w:bidi w:val="0"/>
        <w:spacing w:lineRule="atLeast" w:line="560" w:before="0" w:after="0"/>
        <w:jc w:val="left"/>
        <w:rPr>
          <w:rFonts w:ascii="Arial;sans-serif" w:hAnsi="Arial;sans-serif"/>
          <w:b w:val="false"/>
          <w:i w:val="false"/>
          <w:caps w:val="false"/>
          <w:smallCaps w:val="false"/>
          <w:strike w:val="false"/>
          <w:dstrike w:val="false"/>
          <w:color w:val="91C353"/>
          <w:sz w:val="56"/>
          <w:u w:val="none"/>
          <w:effect w:val="none"/>
        </w:rPr>
      </w:pPr>
      <w:r>
        <w:rPr>
          <w:rFonts w:ascii="Arial;sans-serif" w:hAnsi="Arial;sans-serif"/>
          <w:b w:val="false"/>
          <w:i w:val="false"/>
          <w:caps w:val="false"/>
          <w:smallCaps w:val="false"/>
          <w:strike w:val="false"/>
          <w:dstrike w:val="false"/>
          <w:color w:val="91C353"/>
          <w:sz w:val="56"/>
          <w:u w:val="none"/>
          <w:effect w:val="none"/>
        </w:rPr>
        <w:t xml:space="preserve">Financial </w:t>
      </w:r>
    </w:p>
    <w:p>
      <w:pPr>
        <w:pStyle w:val="TextBody"/>
        <w:bidi w:val="0"/>
        <w:spacing w:lineRule="atLeast" w:line="560" w:before="0" w:after="0"/>
        <w:jc w:val="left"/>
        <w:rPr>
          <w:rFonts w:ascii="Arial;sans-serif" w:hAnsi="Arial;sans-serif"/>
          <w:b w:val="false"/>
          <w:i w:val="false"/>
          <w:caps w:val="false"/>
          <w:smallCaps w:val="false"/>
          <w:strike w:val="false"/>
          <w:dstrike w:val="false"/>
          <w:color w:val="91C353"/>
          <w:sz w:val="56"/>
          <w:u w:val="none"/>
          <w:effect w:val="none"/>
        </w:rPr>
      </w:pPr>
      <w:r>
        <w:rPr>
          <w:rFonts w:ascii="Arial;sans-serif" w:hAnsi="Arial;sans-serif"/>
          <w:b w:val="false"/>
          <w:i w:val="false"/>
          <w:caps w:val="false"/>
          <w:smallCaps w:val="false"/>
          <w:strike w:val="false"/>
          <w:dstrike w:val="false"/>
          <w:color w:val="91C353"/>
          <w:sz w:val="56"/>
          <w:u w:val="none"/>
          <w:effect w:val="none"/>
        </w:rPr>
        <w:t>Report</w:t>
      </w:r>
    </w:p>
    <w:tbl>
      <w:tblPr>
        <w:tblW w:w="2871" w:type="dxa"/>
        <w:jc w:val="left"/>
        <w:tblInd w:w="0" w:type="dxa"/>
        <w:tblLayout w:type="fixed"/>
        <w:tblCellMar>
          <w:top w:w="28" w:type="dxa"/>
          <w:left w:w="28" w:type="dxa"/>
          <w:bottom w:w="28" w:type="dxa"/>
          <w:right w:w="28" w:type="dxa"/>
        </w:tblCellMar>
      </w:tblPr>
      <w:tblGrid>
        <w:gridCol w:w="2536"/>
        <w:gridCol w:w="109"/>
        <w:gridCol w:w="226"/>
      </w:tblGrid>
      <w:tr>
        <w:trPr/>
        <w:tc>
          <w:tcPr>
            <w:tcW w:w="2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argenx Half-Year 2026 Financial Report</w:t>
            </w:r>
          </w:p>
        </w:tc>
        <w:tc>
          <w:tcPr>
            <w:tcW w:w="109" w:type="dxa"/>
            <w:tcBorders>
              <w:right w:val="single" w:sz="8" w:space="0" w:color="0B436E"/>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26" w:type="dxa"/>
            <w:tcBorders>
              <w:left w:val="single" w:sz="8" w:space="0" w:color="0B436E"/>
            </w:tcBorders>
            <w:tcMar>
              <w:top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560" w:before="0" w:after="0"/>
        <w:jc w:val="left"/>
        <w:rPr>
          <w:rFonts w:ascii="Arial;sans-serif" w:hAnsi="Arial;sans-serif"/>
          <w:b w:val="false"/>
          <w:i w:val="false"/>
          <w:caps w:val="false"/>
          <w:smallCaps w:val="false"/>
          <w:strike w:val="false"/>
          <w:dstrike w:val="false"/>
          <w:color w:val="0B436E"/>
          <w:sz w:val="56"/>
          <w:u w:val="none"/>
          <w:effect w:val="none"/>
        </w:rPr>
      </w:pPr>
      <w:r>
        <w:rPr>
          <w:rFonts w:ascii="Arial;sans-serif" w:hAnsi="Arial;sans-serif"/>
          <w:b w:val="false"/>
          <w:i w:val="false"/>
          <w:caps w:val="false"/>
          <w:smallCaps w:val="false"/>
          <w:strike w:val="false"/>
          <w:dstrike w:val="false"/>
          <w:color w:val="0B436E"/>
          <w:sz w:val="56"/>
          <w:u w:val="none"/>
          <w:effect w:val="none"/>
        </w:rPr>
        <w:t>Table of Contents</w:t>
      </w:r>
    </w:p>
    <w:tbl>
      <w:tblPr>
        <w:tblW w:w="8927" w:type="dxa"/>
        <w:jc w:val="left"/>
        <w:tblInd w:w="0" w:type="dxa"/>
        <w:tblLayout w:type="fixed"/>
        <w:tblCellMar>
          <w:top w:w="28" w:type="dxa"/>
          <w:left w:w="28" w:type="dxa"/>
          <w:bottom w:w="28" w:type="dxa"/>
          <w:right w:w="28" w:type="dxa"/>
        </w:tblCellMar>
      </w:tblPr>
      <w:tblGrid>
        <w:gridCol w:w="8446"/>
        <w:gridCol w:w="481"/>
      </w:tblGrid>
      <w:tr>
        <w:trPr/>
        <w:tc>
          <w:tcPr>
            <w:tcW w:w="84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446" w:type="dxa"/>
            <w:tcBorders/>
            <w:vAlign w:val="center"/>
          </w:tcPr>
          <w:p>
            <w:pPr>
              <w:pStyle w:val="TableContents"/>
              <w:bidi w:val="0"/>
              <w:spacing w:lineRule="atLeast" w:line="290" w:before="0" w:after="0"/>
              <w:jc w:val="left"/>
              <w:rPr/>
            </w:pPr>
            <w:hyperlink w:anchor="i2c893fd98b624f05b6634c0d0930eb2b">
              <w:r>
                <w:rPr>
                  <w:rStyle w:val="InternetLink"/>
                  <w:rFonts w:ascii="Arial;sans-serif" w:hAnsi="Arial;sans-serif"/>
                  <w:b w:val="false"/>
                  <w:i w:val="false"/>
                  <w:caps w:val="false"/>
                  <w:smallCaps w:val="false"/>
                  <w:strike w:val="false"/>
                  <w:dstrike w:val="false"/>
                  <w:color w:val="0B436E"/>
                  <w:sz w:val="29"/>
                  <w:u w:val="single"/>
                  <w:effect w:val="none"/>
                </w:rPr>
                <w:t>Management report</w:t>
              </w:r>
            </w:hyperlink>
          </w:p>
        </w:tc>
        <w:tc>
          <w:tcPr>
            <w:tcW w:w="481" w:type="dxa"/>
            <w:tcBorders/>
            <w:vAlign w:val="center"/>
          </w:tcPr>
          <w:p>
            <w:pPr>
              <w:pStyle w:val="TableContents"/>
              <w:bidi w:val="0"/>
              <w:spacing w:lineRule="atLeast" w:line="290" w:before="0" w:after="0"/>
              <w:jc w:val="left"/>
              <w:rPr/>
            </w:pPr>
            <w:hyperlink w:anchor="i2c893fd98b624f05b6634c0d0930eb2b">
              <w:r>
                <w:rPr>
                  <w:rStyle w:val="InternetLink"/>
                  <w:rFonts w:ascii="Arial;sans-serif" w:hAnsi="Arial;sans-serif"/>
                  <w:b w:val="false"/>
                  <w:i w:val="false"/>
                  <w:caps w:val="false"/>
                  <w:smallCaps w:val="false"/>
                  <w:strike w:val="false"/>
                  <w:dstrike w:val="false"/>
                  <w:color w:val="0B436E"/>
                  <w:sz w:val="29"/>
                  <w:u w:val="single"/>
                  <w:effect w:val="none"/>
                </w:rPr>
                <w:t>2</w:t>
              </w:r>
            </w:hyperlink>
          </w:p>
        </w:tc>
      </w:tr>
      <w:tr>
        <w:trPr/>
        <w:tc>
          <w:tcPr>
            <w:tcW w:w="8446" w:type="dxa"/>
            <w:tcBorders/>
            <w:vAlign w:val="center"/>
          </w:tcPr>
          <w:p>
            <w:pPr>
              <w:pStyle w:val="TableContents"/>
              <w:bidi w:val="0"/>
              <w:spacing w:lineRule="atLeast" w:line="200" w:before="0" w:after="0"/>
              <w:jc w:val="left"/>
              <w:rPr/>
            </w:pPr>
            <w:hyperlink w:anchor="i3c0e3d7758e8402da9f632865a17859b">
              <w:r>
                <w:rPr>
                  <w:rStyle w:val="InternetLink"/>
                  <w:rFonts w:ascii="Arial;sans-serif" w:hAnsi="Arial;sans-serif"/>
                  <w:b w:val="false"/>
                  <w:i w:val="false"/>
                  <w:caps w:val="false"/>
                  <w:smallCaps w:val="false"/>
                  <w:strike w:val="false"/>
                  <w:dstrike w:val="false"/>
                  <w:color w:val="000080"/>
                  <w:sz w:val="20"/>
                  <w:u w:val="single"/>
                  <w:effect w:val="none"/>
                </w:rPr>
                <w:t>1</w:t>
              </w:r>
            </w:hyperlink>
            <w:hyperlink w:anchor="i3c0e3d7758e8402da9f632865a17859b">
              <w:r>
                <w:rPr>
                  <w:rStyle w:val="InternetLink"/>
                  <w:rFonts w:ascii="Arial;sans-serif" w:hAnsi="Arial;sans-serif"/>
                  <w:b w:val="false"/>
                  <w:i w:val="false"/>
                  <w:caps w:val="false"/>
                  <w:smallCaps w:val="false"/>
                  <w:strike w:val="false"/>
                  <w:dstrike w:val="false"/>
                  <w:color w:val="000080"/>
                  <w:sz w:val="20"/>
                  <w:u w:val="single"/>
                  <w:effect w:val="none"/>
                </w:rPr>
                <w:t>Main events in the first six months of 2026</w:t>
              </w:r>
            </w:hyperlink>
          </w:p>
        </w:tc>
        <w:tc>
          <w:tcPr>
            <w:tcW w:w="481" w:type="dxa"/>
            <w:tcBorders/>
            <w:vAlign w:val="center"/>
          </w:tcPr>
          <w:p>
            <w:pPr>
              <w:pStyle w:val="TableContents"/>
              <w:bidi w:val="0"/>
              <w:spacing w:lineRule="atLeast" w:line="200" w:before="0" w:after="0"/>
              <w:jc w:val="left"/>
              <w:rPr/>
            </w:pPr>
            <w:hyperlink w:anchor="i3c0e3d7758e8402da9f632865a17859b">
              <w:r>
                <w:rPr>
                  <w:rStyle w:val="InternetLink"/>
                  <w:rFonts w:ascii="Arial;sans-serif" w:hAnsi="Arial;sans-serif"/>
                  <w:b w:val="false"/>
                  <w:i w:val="false"/>
                  <w:caps w:val="false"/>
                  <w:smallCaps w:val="false"/>
                  <w:strike w:val="false"/>
                  <w:dstrike w:val="false"/>
                  <w:color w:val="0B436E"/>
                  <w:sz w:val="20"/>
                  <w:u w:val="single"/>
                  <w:effect w:val="none"/>
                </w:rPr>
                <w:t>2</w:t>
              </w:r>
            </w:hyperlink>
          </w:p>
        </w:tc>
      </w:tr>
      <w:tr>
        <w:trPr/>
        <w:tc>
          <w:tcPr>
            <w:tcW w:w="8446" w:type="dxa"/>
            <w:tcBorders/>
            <w:vAlign w:val="center"/>
          </w:tcPr>
          <w:p>
            <w:pPr>
              <w:pStyle w:val="TableContents"/>
              <w:bidi w:val="0"/>
              <w:spacing w:lineRule="atLeast" w:line="200" w:before="0" w:after="0"/>
              <w:jc w:val="left"/>
              <w:rPr/>
            </w:pPr>
            <w:hyperlink w:anchor="i3a6f2ecca5a341af861f305f733a2581">
              <w:r>
                <w:rPr>
                  <w:rStyle w:val="InternetLink"/>
                  <w:rFonts w:ascii="Arial;sans-serif" w:hAnsi="Arial;sans-serif"/>
                  <w:b w:val="false"/>
                  <w:i w:val="false"/>
                  <w:caps w:val="false"/>
                  <w:smallCaps w:val="false"/>
                  <w:strike w:val="false"/>
                  <w:dstrike w:val="false"/>
                  <w:color w:val="000080"/>
                  <w:sz w:val="20"/>
                  <w:u w:val="single"/>
                  <w:effect w:val="none"/>
                </w:rPr>
                <w:t>2</w:t>
              </w:r>
            </w:hyperlink>
            <w:hyperlink w:anchor="i3a6f2ecca5a341af861f305f733a2581">
              <w:r>
                <w:rPr>
                  <w:rStyle w:val="InternetLink"/>
                  <w:rFonts w:ascii="Arial;sans-serif" w:hAnsi="Arial;sans-serif"/>
                  <w:b w:val="false"/>
                  <w:i w:val="false"/>
                  <w:caps w:val="false"/>
                  <w:smallCaps w:val="false"/>
                  <w:strike w:val="false"/>
                  <w:dstrike w:val="false"/>
                  <w:color w:val="000080"/>
                  <w:sz w:val="20"/>
                  <w:u w:val="single"/>
                  <w:effect w:val="none"/>
                </w:rPr>
                <w:t xml:space="preserve">Financial highlights </w:t>
              </w:r>
            </w:hyperlink>
          </w:p>
        </w:tc>
        <w:tc>
          <w:tcPr>
            <w:tcW w:w="481" w:type="dxa"/>
            <w:tcBorders/>
            <w:vAlign w:val="center"/>
          </w:tcPr>
          <w:p>
            <w:pPr>
              <w:pStyle w:val="TableContents"/>
              <w:bidi w:val="0"/>
              <w:spacing w:lineRule="atLeast" w:line="200" w:before="0" w:after="0"/>
              <w:jc w:val="left"/>
              <w:rPr/>
            </w:pPr>
            <w:hyperlink w:anchor="i3a6f2ecca5a341af861f305f733a2581">
              <w:r>
                <w:rPr>
                  <w:rStyle w:val="InternetLink"/>
                  <w:rFonts w:ascii="Arial;sans-serif" w:hAnsi="Arial;sans-serif"/>
                  <w:b w:val="false"/>
                  <w:i w:val="false"/>
                  <w:caps w:val="false"/>
                  <w:smallCaps w:val="false"/>
                  <w:strike w:val="false"/>
                  <w:dstrike w:val="false"/>
                  <w:color w:val="0B436E"/>
                  <w:sz w:val="20"/>
                  <w:u w:val="single"/>
                  <w:effect w:val="none"/>
                </w:rPr>
                <w:t>3</w:t>
              </w:r>
            </w:hyperlink>
          </w:p>
        </w:tc>
      </w:tr>
      <w:tr>
        <w:trPr/>
        <w:tc>
          <w:tcPr>
            <w:tcW w:w="8446" w:type="dxa"/>
            <w:tcBorders/>
            <w:vAlign w:val="center"/>
          </w:tcPr>
          <w:p>
            <w:pPr>
              <w:pStyle w:val="TableContents"/>
              <w:bidi w:val="0"/>
              <w:spacing w:lineRule="atLeast" w:line="200" w:before="0" w:after="0"/>
              <w:jc w:val="left"/>
              <w:rPr/>
            </w:pPr>
            <w:hyperlink w:anchor="i70bb4dcac9a645adb55c91c71d3c5e01">
              <w:r>
                <w:rPr>
                  <w:rStyle w:val="InternetLink"/>
                  <w:rFonts w:ascii="Arial;sans-serif" w:hAnsi="Arial;sans-serif"/>
                  <w:b w:val="false"/>
                  <w:i w:val="false"/>
                  <w:caps w:val="false"/>
                  <w:smallCaps w:val="false"/>
                  <w:strike w:val="false"/>
                  <w:dstrike w:val="false"/>
                  <w:color w:val="000080"/>
                  <w:sz w:val="20"/>
                  <w:u w:val="single"/>
                  <w:effect w:val="none"/>
                </w:rPr>
                <w:t>3</w:t>
              </w:r>
            </w:hyperlink>
            <w:hyperlink w:anchor="i70bb4dcac9a645adb55c91c71d3c5e01">
              <w:r>
                <w:rPr>
                  <w:rStyle w:val="InternetLink"/>
                  <w:rFonts w:ascii="Arial;sans-serif" w:hAnsi="Arial;sans-serif"/>
                  <w:b w:val="false"/>
                  <w:i w:val="false"/>
                  <w:caps w:val="false"/>
                  <w:smallCaps w:val="false"/>
                  <w:strike w:val="false"/>
                  <w:dstrike w:val="false"/>
                  <w:color w:val="000080"/>
                  <w:sz w:val="20"/>
                  <w:u w:val="single"/>
                  <w:effect w:val="none"/>
                </w:rPr>
                <w:t>Risk factors</w:t>
              </w:r>
            </w:hyperlink>
          </w:p>
        </w:tc>
        <w:tc>
          <w:tcPr>
            <w:tcW w:w="481" w:type="dxa"/>
            <w:tcBorders/>
            <w:vAlign w:val="center"/>
          </w:tcPr>
          <w:p>
            <w:pPr>
              <w:pStyle w:val="TableContents"/>
              <w:bidi w:val="0"/>
              <w:spacing w:lineRule="atLeast" w:line="200" w:before="0" w:after="0"/>
              <w:jc w:val="left"/>
              <w:rPr/>
            </w:pPr>
            <w:hyperlink w:anchor="i70bb4dcac9a645adb55c91c71d3c5e01">
              <w:r>
                <w:rPr>
                  <w:rStyle w:val="InternetLink"/>
                  <w:rFonts w:ascii="Arial;sans-serif" w:hAnsi="Arial;sans-serif"/>
                  <w:b w:val="false"/>
                  <w:i w:val="false"/>
                  <w:caps w:val="false"/>
                  <w:smallCaps w:val="false"/>
                  <w:strike w:val="false"/>
                  <w:dstrike w:val="false"/>
                  <w:color w:val="0B436E"/>
                  <w:sz w:val="20"/>
                  <w:u w:val="single"/>
                  <w:effect w:val="none"/>
                </w:rPr>
                <w:t>4</w:t>
              </w:r>
            </w:hyperlink>
          </w:p>
        </w:tc>
      </w:tr>
      <w:tr>
        <w:trPr/>
        <w:tc>
          <w:tcPr>
            <w:tcW w:w="8446" w:type="dxa"/>
            <w:tcBorders/>
            <w:vAlign w:val="center"/>
          </w:tcPr>
          <w:p>
            <w:pPr>
              <w:pStyle w:val="TableContents"/>
              <w:bidi w:val="0"/>
              <w:spacing w:lineRule="atLeast" w:line="200" w:before="0" w:after="0"/>
              <w:jc w:val="left"/>
              <w:rPr/>
            </w:pPr>
            <w:hyperlink w:anchor="i2f3699d317184dbfa458ce1d707d8a9d">
              <w:r>
                <w:rPr>
                  <w:rStyle w:val="InternetLink"/>
                  <w:rFonts w:ascii="Arial;sans-serif" w:hAnsi="Arial;sans-serif"/>
                  <w:b w:val="false"/>
                  <w:i w:val="false"/>
                  <w:caps w:val="false"/>
                  <w:smallCaps w:val="false"/>
                  <w:strike w:val="false"/>
                  <w:dstrike w:val="false"/>
                  <w:color w:val="000080"/>
                  <w:sz w:val="20"/>
                  <w:u w:val="single"/>
                  <w:effect w:val="none"/>
                </w:rPr>
                <w:t>4</w:t>
              </w:r>
            </w:hyperlink>
            <w:hyperlink w:anchor="i2f3699d317184dbfa458ce1d707d8a9d">
              <w:r>
                <w:rPr>
                  <w:rStyle w:val="InternetLink"/>
                  <w:rFonts w:ascii="Arial;sans-serif" w:hAnsi="Arial;sans-serif"/>
                  <w:b w:val="false"/>
                  <w:i w:val="false"/>
                  <w:caps w:val="false"/>
                  <w:smallCaps w:val="false"/>
                  <w:strike w:val="false"/>
                  <w:dstrike w:val="false"/>
                  <w:color w:val="000080"/>
                  <w:sz w:val="20"/>
                  <w:u w:val="single"/>
                  <w:effect w:val="none"/>
                </w:rPr>
                <w:t>Forward-looking statements</w:t>
              </w:r>
            </w:hyperlink>
          </w:p>
        </w:tc>
        <w:tc>
          <w:tcPr>
            <w:tcW w:w="481" w:type="dxa"/>
            <w:tcBorders/>
            <w:vAlign w:val="center"/>
          </w:tcPr>
          <w:p>
            <w:pPr>
              <w:pStyle w:val="TableContents"/>
              <w:bidi w:val="0"/>
              <w:spacing w:lineRule="atLeast" w:line="200" w:before="0" w:after="0"/>
              <w:jc w:val="left"/>
              <w:rPr/>
            </w:pPr>
            <w:hyperlink w:anchor="i2f3699d317184dbfa458ce1d707d8a9d">
              <w:r>
                <w:rPr>
                  <w:rStyle w:val="InternetLink"/>
                  <w:rFonts w:ascii="Arial;sans-serif" w:hAnsi="Arial;sans-serif"/>
                  <w:b w:val="false"/>
                  <w:i w:val="false"/>
                  <w:caps w:val="false"/>
                  <w:smallCaps w:val="false"/>
                  <w:strike w:val="false"/>
                  <w:dstrike w:val="false"/>
                  <w:color w:val="0B436E"/>
                  <w:sz w:val="20"/>
                  <w:u w:val="single"/>
                  <w:effect w:val="none"/>
                </w:rPr>
                <w:t>4</w:t>
              </w:r>
            </w:hyperlink>
          </w:p>
        </w:tc>
      </w:tr>
      <w:tr>
        <w:trPr/>
        <w:tc>
          <w:tcPr>
            <w:tcW w:w="8446" w:type="dxa"/>
            <w:tcBorders/>
            <w:vAlign w:val="center"/>
          </w:tcPr>
          <w:p>
            <w:pPr>
              <w:pStyle w:val="TableContents"/>
              <w:bidi w:val="0"/>
              <w:spacing w:lineRule="atLeast" w:line="200" w:before="0" w:after="0"/>
              <w:jc w:val="left"/>
              <w:rPr/>
            </w:pPr>
            <w:hyperlink w:anchor="ib324b2b439d0410e85cffeafb1d99ca9">
              <w:r>
                <w:rPr>
                  <w:rStyle w:val="InternetLink"/>
                  <w:rFonts w:ascii="Arial;sans-serif" w:hAnsi="Arial;sans-serif"/>
                  <w:b w:val="false"/>
                  <w:i w:val="false"/>
                  <w:caps w:val="false"/>
                  <w:smallCaps w:val="false"/>
                  <w:strike w:val="false"/>
                  <w:dstrike w:val="false"/>
                  <w:color w:val="000080"/>
                  <w:sz w:val="20"/>
                  <w:u w:val="single"/>
                  <w:effect w:val="none"/>
                </w:rPr>
                <w:t>5</w:t>
              </w:r>
            </w:hyperlink>
            <w:hyperlink w:anchor="ib324b2b439d0410e85cffeafb1d99ca9">
              <w:r>
                <w:rPr>
                  <w:rStyle w:val="InternetLink"/>
                  <w:rFonts w:ascii="Arial;sans-serif" w:hAnsi="Arial;sans-serif"/>
                  <w:b w:val="false"/>
                  <w:i w:val="false"/>
                  <w:caps w:val="false"/>
                  <w:smallCaps w:val="false"/>
                  <w:strike w:val="false"/>
                  <w:dstrike w:val="false"/>
                  <w:color w:val="000080"/>
                  <w:sz w:val="20"/>
                  <w:u w:val="single"/>
                  <w:effect w:val="none"/>
                </w:rPr>
                <w:t xml:space="preserve">Statement of the board of directors </w:t>
              </w:r>
            </w:hyperlink>
          </w:p>
        </w:tc>
        <w:tc>
          <w:tcPr>
            <w:tcW w:w="481" w:type="dxa"/>
            <w:tcBorders/>
            <w:vAlign w:val="center"/>
          </w:tcPr>
          <w:p>
            <w:pPr>
              <w:pStyle w:val="TableContents"/>
              <w:bidi w:val="0"/>
              <w:spacing w:lineRule="atLeast" w:line="200" w:before="0" w:after="0"/>
              <w:jc w:val="left"/>
              <w:rPr/>
            </w:pPr>
            <w:hyperlink w:anchor="ib324b2b439d0410e85cffeafb1d99ca9">
              <w:r>
                <w:rPr>
                  <w:rStyle w:val="InternetLink"/>
                  <w:rFonts w:ascii="Arial;sans-serif" w:hAnsi="Arial;sans-serif"/>
                  <w:b w:val="false"/>
                  <w:i w:val="false"/>
                  <w:caps w:val="false"/>
                  <w:smallCaps w:val="false"/>
                  <w:strike w:val="false"/>
                  <w:dstrike w:val="false"/>
                  <w:color w:val="0B436E"/>
                  <w:sz w:val="20"/>
                  <w:u w:val="single"/>
                  <w:effect w:val="none"/>
                </w:rPr>
                <w:t>5</w:t>
              </w:r>
            </w:hyperlink>
          </w:p>
        </w:tc>
      </w:tr>
      <w:tr>
        <w:trPr/>
        <w:tc>
          <w:tcPr>
            <w:tcW w:w="8446" w:type="dxa"/>
            <w:tcBorders/>
            <w:vAlign w:val="center"/>
          </w:tcPr>
          <w:p>
            <w:pPr>
              <w:pStyle w:val="TableContents"/>
              <w:bidi w:val="0"/>
              <w:spacing w:lineRule="atLeast" w:line="290" w:before="0" w:after="0"/>
              <w:jc w:val="left"/>
              <w:rPr/>
            </w:pPr>
            <w:hyperlink w:anchor="i7aa9f7f8430e4139bd28cedf84369e1e">
              <w:r>
                <w:rPr>
                  <w:rStyle w:val="InternetLink"/>
                  <w:rFonts w:ascii="Arial;sans-serif" w:hAnsi="Arial;sans-serif"/>
                  <w:b w:val="false"/>
                  <w:i w:val="false"/>
                  <w:caps w:val="false"/>
                  <w:smallCaps w:val="false"/>
                  <w:strike w:val="false"/>
                  <w:dstrike w:val="false"/>
                  <w:color w:val="0B436E"/>
                  <w:sz w:val="29"/>
                  <w:u w:val="single"/>
                  <w:effect w:val="none"/>
                </w:rPr>
                <w:t>Unaudited condensed consolidated interim financial statements</w:t>
              </w:r>
            </w:hyperlink>
          </w:p>
        </w:tc>
        <w:tc>
          <w:tcPr>
            <w:tcW w:w="481" w:type="dxa"/>
            <w:tcBorders/>
            <w:vAlign w:val="center"/>
          </w:tcPr>
          <w:p>
            <w:pPr>
              <w:pStyle w:val="TableContents"/>
              <w:bidi w:val="0"/>
              <w:spacing w:lineRule="atLeast" w:line="290" w:before="0" w:after="0"/>
              <w:jc w:val="left"/>
              <w:rPr/>
            </w:pPr>
            <w:hyperlink w:anchor="i7aa9f7f8430e4139bd28cedf84369e1e">
              <w:r>
                <w:rPr>
                  <w:rStyle w:val="InternetLink"/>
                  <w:rFonts w:ascii="Arial;sans-serif" w:hAnsi="Arial;sans-serif"/>
                  <w:b w:val="false"/>
                  <w:i w:val="false"/>
                  <w:caps w:val="false"/>
                  <w:smallCaps w:val="false"/>
                  <w:strike w:val="false"/>
                  <w:dstrike w:val="false"/>
                  <w:color w:val="0B436E"/>
                  <w:sz w:val="29"/>
                  <w:u w:val="single"/>
                  <w:effect w:val="none"/>
                </w:rPr>
                <w:t>6</w:t>
              </w:r>
            </w:hyperlink>
          </w:p>
        </w:tc>
      </w:tr>
      <w:tr>
        <w:trPr/>
        <w:tc>
          <w:tcPr>
            <w:tcW w:w="8446" w:type="dxa"/>
            <w:tcBorders/>
            <w:vAlign w:val="center"/>
          </w:tcPr>
          <w:p>
            <w:pPr>
              <w:pStyle w:val="TableContents"/>
              <w:bidi w:val="0"/>
              <w:spacing w:lineRule="atLeast" w:line="200" w:before="0" w:after="0"/>
              <w:jc w:val="left"/>
              <w:rPr/>
            </w:pPr>
            <w:hyperlink w:anchor="i9a50a904e9494e07b8a6c3c9b55b9ac8">
              <w:r>
                <w:rPr>
                  <w:rStyle w:val="InternetLink"/>
                  <w:rFonts w:ascii="Arial;sans-serif" w:hAnsi="Arial;sans-serif"/>
                  <w:b w:val="false"/>
                  <w:i w:val="false"/>
                  <w:caps w:val="false"/>
                  <w:smallCaps w:val="false"/>
                  <w:strike w:val="false"/>
                  <w:dstrike w:val="false"/>
                  <w:color w:val="0B436E"/>
                  <w:sz w:val="20"/>
                  <w:u w:val="single"/>
                  <w:effect w:val="none"/>
                </w:rPr>
                <w:t>Unaudited condensed consolidated interim statements of financial position</w:t>
              </w:r>
            </w:hyperlink>
          </w:p>
        </w:tc>
        <w:tc>
          <w:tcPr>
            <w:tcW w:w="481" w:type="dxa"/>
            <w:tcBorders/>
            <w:vAlign w:val="center"/>
          </w:tcPr>
          <w:p>
            <w:pPr>
              <w:pStyle w:val="TableContents"/>
              <w:bidi w:val="0"/>
              <w:spacing w:lineRule="atLeast" w:line="200" w:before="0" w:after="0"/>
              <w:jc w:val="left"/>
              <w:rPr/>
            </w:pPr>
            <w:hyperlink w:anchor="i9a50a904e9494e07b8a6c3c9b55b9ac8">
              <w:r>
                <w:rPr>
                  <w:rStyle w:val="InternetLink"/>
                  <w:rFonts w:ascii="Arial;sans-serif" w:hAnsi="Arial;sans-serif"/>
                  <w:b w:val="false"/>
                  <w:i w:val="false"/>
                  <w:caps w:val="false"/>
                  <w:smallCaps w:val="false"/>
                  <w:strike w:val="false"/>
                  <w:dstrike w:val="false"/>
                  <w:color w:val="0B436E"/>
                  <w:sz w:val="20"/>
                  <w:u w:val="single"/>
                  <w:effect w:val="none"/>
                </w:rPr>
                <w:t>6</w:t>
              </w:r>
            </w:hyperlink>
          </w:p>
        </w:tc>
      </w:tr>
      <w:tr>
        <w:trPr/>
        <w:tc>
          <w:tcPr>
            <w:tcW w:w="8446" w:type="dxa"/>
            <w:tcBorders/>
            <w:vAlign w:val="center"/>
          </w:tcPr>
          <w:p>
            <w:pPr>
              <w:pStyle w:val="TableContents"/>
              <w:bidi w:val="0"/>
              <w:spacing w:lineRule="atLeast" w:line="200" w:before="0" w:after="0"/>
              <w:jc w:val="left"/>
              <w:rPr/>
            </w:pPr>
            <w:hyperlink w:anchor="iefdc422d0920404b82069e129ee64e3e">
              <w:r>
                <w:rPr>
                  <w:rStyle w:val="InternetLink"/>
                  <w:rFonts w:ascii="Arial;sans-serif" w:hAnsi="Arial;sans-serif"/>
                  <w:b w:val="false"/>
                  <w:i w:val="false"/>
                  <w:caps w:val="false"/>
                  <w:smallCaps w:val="false"/>
                  <w:strike w:val="false"/>
                  <w:dstrike w:val="false"/>
                  <w:color w:val="0B436E"/>
                  <w:sz w:val="20"/>
                  <w:u w:val="single"/>
                  <w:effect w:val="none"/>
                </w:rPr>
                <w:t xml:space="preserve">Unaudited condensed consolidated interim statements of profit or loss </w:t>
              </w:r>
            </w:hyperlink>
          </w:p>
        </w:tc>
        <w:tc>
          <w:tcPr>
            <w:tcW w:w="481" w:type="dxa"/>
            <w:tcBorders/>
            <w:vAlign w:val="center"/>
          </w:tcPr>
          <w:p>
            <w:pPr>
              <w:pStyle w:val="TableContents"/>
              <w:bidi w:val="0"/>
              <w:spacing w:lineRule="atLeast" w:line="200" w:before="0" w:after="0"/>
              <w:jc w:val="left"/>
              <w:rPr/>
            </w:pPr>
            <w:hyperlink w:anchor="iefdc422d0920404b82069e129ee64e3e">
              <w:r>
                <w:rPr>
                  <w:rStyle w:val="InternetLink"/>
                  <w:rFonts w:ascii="Arial;sans-serif" w:hAnsi="Arial;sans-serif"/>
                  <w:b w:val="false"/>
                  <w:i w:val="false"/>
                  <w:caps w:val="false"/>
                  <w:smallCaps w:val="false"/>
                  <w:strike w:val="false"/>
                  <w:dstrike w:val="false"/>
                  <w:color w:val="0B436E"/>
                  <w:sz w:val="20"/>
                  <w:u w:val="single"/>
                  <w:effect w:val="none"/>
                </w:rPr>
                <w:t>8</w:t>
              </w:r>
            </w:hyperlink>
          </w:p>
        </w:tc>
      </w:tr>
      <w:tr>
        <w:trPr/>
        <w:tc>
          <w:tcPr>
            <w:tcW w:w="8446" w:type="dxa"/>
            <w:tcBorders/>
            <w:vAlign w:val="center"/>
          </w:tcPr>
          <w:p>
            <w:pPr>
              <w:pStyle w:val="TableContents"/>
              <w:bidi w:val="0"/>
              <w:spacing w:lineRule="atLeast" w:line="200" w:before="0" w:after="0"/>
              <w:jc w:val="left"/>
              <w:rPr/>
            </w:pPr>
            <w:hyperlink w:anchor="i6487e50ebe9144499120e2ce6ec2dc1b">
              <w:r>
                <w:rPr>
                  <w:rStyle w:val="InternetLink"/>
                  <w:rFonts w:ascii="Arial;sans-serif" w:hAnsi="Arial;sans-serif"/>
                  <w:b w:val="false"/>
                  <w:i w:val="false"/>
                  <w:caps w:val="false"/>
                  <w:smallCaps w:val="false"/>
                  <w:strike w:val="false"/>
                  <w:dstrike w:val="false"/>
                  <w:color w:val="0B436E"/>
                  <w:sz w:val="20"/>
                  <w:u w:val="single"/>
                  <w:effect w:val="none"/>
                </w:rPr>
                <w:t>Unaudited condensed consolidated interim statements of comprehensive income or loss</w:t>
              </w:r>
            </w:hyperlink>
          </w:p>
        </w:tc>
        <w:tc>
          <w:tcPr>
            <w:tcW w:w="481" w:type="dxa"/>
            <w:tcBorders/>
            <w:vAlign w:val="center"/>
          </w:tcPr>
          <w:p>
            <w:pPr>
              <w:pStyle w:val="TableContents"/>
              <w:bidi w:val="0"/>
              <w:spacing w:lineRule="atLeast" w:line="200" w:before="0" w:after="0"/>
              <w:jc w:val="left"/>
              <w:rPr/>
            </w:pPr>
            <w:hyperlink w:anchor="i6487e50ebe9144499120e2ce6ec2dc1b">
              <w:r>
                <w:rPr>
                  <w:rStyle w:val="InternetLink"/>
                  <w:rFonts w:ascii="Arial;sans-serif" w:hAnsi="Arial;sans-serif"/>
                  <w:b w:val="false"/>
                  <w:i w:val="false"/>
                  <w:caps w:val="false"/>
                  <w:smallCaps w:val="false"/>
                  <w:strike w:val="false"/>
                  <w:dstrike w:val="false"/>
                  <w:color w:val="0B436E"/>
                  <w:sz w:val="20"/>
                  <w:u w:val="single"/>
                  <w:effect w:val="none"/>
                </w:rPr>
                <w:t>9</w:t>
              </w:r>
            </w:hyperlink>
          </w:p>
        </w:tc>
      </w:tr>
      <w:tr>
        <w:trPr/>
        <w:tc>
          <w:tcPr>
            <w:tcW w:w="8446" w:type="dxa"/>
            <w:tcBorders/>
            <w:vAlign w:val="center"/>
          </w:tcPr>
          <w:p>
            <w:pPr>
              <w:pStyle w:val="TableContents"/>
              <w:bidi w:val="0"/>
              <w:spacing w:lineRule="atLeast" w:line="200" w:before="0" w:after="0"/>
              <w:jc w:val="left"/>
              <w:rPr/>
            </w:pPr>
            <w:hyperlink w:anchor="i68e0e4fad8b640baa0ffa593b592388a">
              <w:r>
                <w:rPr>
                  <w:rStyle w:val="InternetLink"/>
                  <w:rFonts w:ascii="Arial;sans-serif" w:hAnsi="Arial;sans-serif"/>
                  <w:b w:val="false"/>
                  <w:i w:val="false"/>
                  <w:caps w:val="false"/>
                  <w:smallCaps w:val="false"/>
                  <w:strike w:val="false"/>
                  <w:dstrike w:val="false"/>
                  <w:color w:val="0B436E"/>
                  <w:sz w:val="20"/>
                  <w:u w:val="single"/>
                  <w:effect w:val="none"/>
                </w:rPr>
                <w:t>Unaudited condensed consolidated interim statements of cash flows</w:t>
              </w:r>
            </w:hyperlink>
          </w:p>
        </w:tc>
        <w:tc>
          <w:tcPr>
            <w:tcW w:w="481" w:type="dxa"/>
            <w:tcBorders/>
            <w:vAlign w:val="center"/>
          </w:tcPr>
          <w:p>
            <w:pPr>
              <w:pStyle w:val="TableContents"/>
              <w:bidi w:val="0"/>
              <w:spacing w:lineRule="atLeast" w:line="200" w:before="0" w:after="0"/>
              <w:jc w:val="left"/>
              <w:rPr/>
            </w:pPr>
            <w:hyperlink w:anchor="i68e0e4fad8b640baa0ffa593b592388a">
              <w:r>
                <w:rPr>
                  <w:rStyle w:val="InternetLink"/>
                  <w:rFonts w:ascii="Arial;sans-serif" w:hAnsi="Arial;sans-serif"/>
                  <w:b w:val="false"/>
                  <w:i w:val="false"/>
                  <w:caps w:val="false"/>
                  <w:smallCaps w:val="false"/>
                  <w:strike w:val="false"/>
                  <w:dstrike w:val="false"/>
                  <w:color w:val="0B436E"/>
                  <w:sz w:val="20"/>
                  <w:u w:val="single"/>
                  <w:effect w:val="none"/>
                </w:rPr>
                <w:t>10</w:t>
              </w:r>
            </w:hyperlink>
          </w:p>
        </w:tc>
      </w:tr>
      <w:tr>
        <w:trPr/>
        <w:tc>
          <w:tcPr>
            <w:tcW w:w="8446" w:type="dxa"/>
            <w:tcBorders/>
            <w:vAlign w:val="center"/>
          </w:tcPr>
          <w:p>
            <w:pPr>
              <w:pStyle w:val="TableContents"/>
              <w:bidi w:val="0"/>
              <w:spacing w:lineRule="atLeast" w:line="200" w:before="0" w:after="0"/>
              <w:jc w:val="left"/>
              <w:rPr/>
            </w:pPr>
            <w:hyperlink w:anchor="icf8dc6f4ad024b50937ae69e073599f9">
              <w:r>
                <w:rPr>
                  <w:rStyle w:val="InternetLink"/>
                  <w:rFonts w:ascii="Arial;sans-serif" w:hAnsi="Arial;sans-serif"/>
                  <w:b w:val="false"/>
                  <w:i w:val="false"/>
                  <w:caps w:val="false"/>
                  <w:smallCaps w:val="false"/>
                  <w:strike w:val="false"/>
                  <w:dstrike w:val="false"/>
                  <w:color w:val="0B436E"/>
                  <w:sz w:val="20"/>
                  <w:u w:val="single"/>
                  <w:effect w:val="none"/>
                </w:rPr>
                <w:t>Unaudited condensed consolidated interim statements of changes in equity</w:t>
              </w:r>
            </w:hyperlink>
          </w:p>
        </w:tc>
        <w:tc>
          <w:tcPr>
            <w:tcW w:w="481" w:type="dxa"/>
            <w:tcBorders/>
            <w:vAlign w:val="center"/>
          </w:tcPr>
          <w:p>
            <w:pPr>
              <w:pStyle w:val="TableContents"/>
              <w:bidi w:val="0"/>
              <w:spacing w:lineRule="atLeast" w:line="200" w:before="0" w:after="0"/>
              <w:jc w:val="left"/>
              <w:rPr/>
            </w:pPr>
            <w:hyperlink w:anchor="icf8dc6f4ad024b50937ae69e073599f9">
              <w:r>
                <w:rPr>
                  <w:rStyle w:val="InternetLink"/>
                  <w:rFonts w:ascii="Arial;sans-serif" w:hAnsi="Arial;sans-serif"/>
                  <w:b w:val="false"/>
                  <w:i w:val="false"/>
                  <w:caps w:val="false"/>
                  <w:smallCaps w:val="false"/>
                  <w:strike w:val="false"/>
                  <w:dstrike w:val="false"/>
                  <w:color w:val="0B436E"/>
                  <w:sz w:val="20"/>
                  <w:u w:val="single"/>
                  <w:effect w:val="none"/>
                </w:rPr>
                <w:t>11</w:t>
              </w:r>
            </w:hyperlink>
          </w:p>
        </w:tc>
      </w:tr>
      <w:tr>
        <w:trPr/>
        <w:tc>
          <w:tcPr>
            <w:tcW w:w="8446" w:type="dxa"/>
            <w:tcBorders/>
            <w:vAlign w:val="center"/>
          </w:tcPr>
          <w:p>
            <w:pPr>
              <w:pStyle w:val="TableContents"/>
              <w:bidi w:val="0"/>
              <w:spacing w:lineRule="atLeast" w:line="290" w:before="0" w:after="0"/>
              <w:jc w:val="left"/>
              <w:rPr/>
            </w:pPr>
            <w:hyperlink w:anchor="i347721faed9d422da57e5beccd17d533">
              <w:r>
                <w:rPr>
                  <w:rStyle w:val="InternetLink"/>
                  <w:rFonts w:ascii="Arial;sans-serif" w:hAnsi="Arial;sans-serif"/>
                  <w:b w:val="false"/>
                  <w:i w:val="false"/>
                  <w:caps w:val="false"/>
                  <w:smallCaps w:val="false"/>
                  <w:strike w:val="false"/>
                  <w:dstrike w:val="false"/>
                  <w:color w:val="0B436E"/>
                  <w:sz w:val="29"/>
                  <w:u w:val="single"/>
                  <w:effect w:val="none"/>
                </w:rPr>
                <w:t xml:space="preserve">Notes to the unaudited condensed consolidated interim financial </w:t>
              </w:r>
            </w:hyperlink>
          </w:p>
          <w:p>
            <w:pPr>
              <w:pStyle w:val="TableContents"/>
              <w:bidi w:val="0"/>
              <w:spacing w:lineRule="atLeast" w:line="290" w:before="0" w:after="0"/>
              <w:jc w:val="left"/>
              <w:rPr/>
            </w:pPr>
            <w:hyperlink w:anchor="i347721faed9d422da57e5beccd17d533">
              <w:r>
                <w:rPr>
                  <w:rStyle w:val="InternetLink"/>
                  <w:rFonts w:ascii="Arial;sans-serif" w:hAnsi="Arial;sans-serif"/>
                  <w:b w:val="false"/>
                  <w:i w:val="false"/>
                  <w:caps w:val="false"/>
                  <w:smallCaps w:val="false"/>
                  <w:strike w:val="false"/>
                  <w:dstrike w:val="false"/>
                  <w:color w:val="0B436E"/>
                  <w:sz w:val="29"/>
                  <w:u w:val="single"/>
                  <w:effect w:val="none"/>
                </w:rPr>
                <w:t xml:space="preserve">statements </w:t>
              </w:r>
            </w:hyperlink>
          </w:p>
        </w:tc>
        <w:tc>
          <w:tcPr>
            <w:tcW w:w="481" w:type="dxa"/>
            <w:tcBorders/>
            <w:vAlign w:val="center"/>
          </w:tcPr>
          <w:p>
            <w:pPr>
              <w:pStyle w:val="TableContents"/>
              <w:bidi w:val="0"/>
              <w:spacing w:lineRule="atLeast" w:line="290" w:before="0" w:after="0"/>
              <w:jc w:val="left"/>
              <w:rPr/>
            </w:pPr>
            <w:hyperlink w:anchor="i347721faed9d422da57e5beccd17d533">
              <w:r>
                <w:rPr>
                  <w:rStyle w:val="InternetLink"/>
                  <w:rFonts w:ascii="Arial;sans-serif" w:hAnsi="Arial;sans-serif"/>
                  <w:b w:val="false"/>
                  <w:i w:val="false"/>
                  <w:caps w:val="false"/>
                  <w:smallCaps w:val="false"/>
                  <w:strike w:val="false"/>
                  <w:dstrike w:val="false"/>
                  <w:color w:val="0B436E"/>
                  <w:sz w:val="29"/>
                  <w:u w:val="single"/>
                  <w:effect w:val="none"/>
                </w:rPr>
                <w:t>12</w:t>
              </w:r>
            </w:hyperlink>
          </w:p>
        </w:tc>
      </w:tr>
      <w:tr>
        <w:trPr/>
        <w:tc>
          <w:tcPr>
            <w:tcW w:w="8446" w:type="dxa"/>
            <w:tcBorders/>
            <w:vAlign w:val="center"/>
          </w:tcPr>
          <w:p>
            <w:pPr>
              <w:pStyle w:val="TableContents"/>
              <w:bidi w:val="0"/>
              <w:spacing w:lineRule="atLeast" w:line="200" w:before="0" w:after="0"/>
              <w:jc w:val="left"/>
              <w:rPr/>
            </w:pPr>
            <w:hyperlink w:anchor="i824619a601464f8f88c5e16249500c29">
              <w:r>
                <w:rPr>
                  <w:rStyle w:val="InternetLink"/>
                  <w:rFonts w:ascii="Arial;sans-serif" w:hAnsi="Arial;sans-serif"/>
                  <w:b w:val="false"/>
                  <w:i w:val="false"/>
                  <w:caps w:val="false"/>
                  <w:smallCaps w:val="false"/>
                  <w:strike w:val="false"/>
                  <w:dstrike w:val="false"/>
                  <w:color w:val="000080"/>
                  <w:sz w:val="20"/>
                  <w:u w:val="single"/>
                  <w:effect w:val="none"/>
                </w:rPr>
                <w:t>1</w:t>
              </w:r>
            </w:hyperlink>
            <w:hyperlink w:anchor="i824619a601464f8f88c5e16249500c29">
              <w:r>
                <w:rPr>
                  <w:rStyle w:val="InternetLink"/>
                  <w:rFonts w:ascii="Arial;sans-serif" w:hAnsi="Arial;sans-serif"/>
                  <w:b w:val="false"/>
                  <w:i w:val="false"/>
                  <w:caps w:val="false"/>
                  <w:smallCaps w:val="false"/>
                  <w:strike w:val="false"/>
                  <w:dstrike w:val="false"/>
                  <w:color w:val="000080"/>
                  <w:sz w:val="20"/>
                  <w:u w:val="single"/>
                  <w:effect w:val="none"/>
                </w:rPr>
                <w:t>General information about the Company</w:t>
              </w:r>
            </w:hyperlink>
          </w:p>
        </w:tc>
        <w:tc>
          <w:tcPr>
            <w:tcW w:w="481" w:type="dxa"/>
            <w:tcBorders/>
            <w:vAlign w:val="center"/>
          </w:tcPr>
          <w:p>
            <w:pPr>
              <w:pStyle w:val="TableContents"/>
              <w:bidi w:val="0"/>
              <w:spacing w:lineRule="atLeast" w:line="200" w:before="0" w:after="0"/>
              <w:jc w:val="left"/>
              <w:rPr/>
            </w:pPr>
            <w:hyperlink w:anchor="i824619a601464f8f88c5e16249500c29">
              <w:r>
                <w:rPr>
                  <w:rStyle w:val="InternetLink"/>
                  <w:rFonts w:ascii="Arial;sans-serif" w:hAnsi="Arial;sans-serif"/>
                  <w:b w:val="false"/>
                  <w:i w:val="false"/>
                  <w:caps w:val="false"/>
                  <w:smallCaps w:val="false"/>
                  <w:strike w:val="false"/>
                  <w:dstrike w:val="false"/>
                  <w:color w:val="0B436E"/>
                  <w:sz w:val="20"/>
                  <w:u w:val="single"/>
                  <w:effect w:val="none"/>
                </w:rPr>
                <w:t>12</w:t>
              </w:r>
            </w:hyperlink>
          </w:p>
        </w:tc>
      </w:tr>
      <w:tr>
        <w:trPr/>
        <w:tc>
          <w:tcPr>
            <w:tcW w:w="8446" w:type="dxa"/>
            <w:tcBorders/>
            <w:vAlign w:val="center"/>
          </w:tcPr>
          <w:p>
            <w:pPr>
              <w:pStyle w:val="TableContents"/>
              <w:bidi w:val="0"/>
              <w:spacing w:lineRule="atLeast" w:line="200" w:before="0" w:after="0"/>
              <w:jc w:val="left"/>
              <w:rPr/>
            </w:pPr>
            <w:hyperlink w:anchor="i58145abcaafa48e7989f6d9d42fef3d4">
              <w:r>
                <w:rPr>
                  <w:rStyle w:val="InternetLink"/>
                  <w:rFonts w:ascii="Arial;sans-serif" w:hAnsi="Arial;sans-serif"/>
                  <w:b w:val="false"/>
                  <w:i w:val="false"/>
                  <w:caps w:val="false"/>
                  <w:smallCaps w:val="false"/>
                  <w:strike w:val="false"/>
                  <w:dstrike w:val="false"/>
                  <w:color w:val="000080"/>
                  <w:sz w:val="20"/>
                  <w:u w:val="single"/>
                  <w:effect w:val="none"/>
                </w:rPr>
                <w:t>2</w:t>
              </w:r>
            </w:hyperlink>
            <w:hyperlink w:anchor="i58145abcaafa48e7989f6d9d42fef3d4">
              <w:r>
                <w:rPr>
                  <w:rStyle w:val="InternetLink"/>
                  <w:rFonts w:ascii="Arial;sans-serif" w:hAnsi="Arial;sans-serif"/>
                  <w:b w:val="false"/>
                  <w:i w:val="false"/>
                  <w:caps w:val="false"/>
                  <w:smallCaps w:val="false"/>
                  <w:strike w:val="false"/>
                  <w:dstrike w:val="false"/>
                  <w:color w:val="000080"/>
                  <w:sz w:val="20"/>
                  <w:u w:val="single"/>
                  <w:effect w:val="none"/>
                </w:rPr>
                <w:t>Basis of preparation and changes to the Company's accounting policies</w:t>
              </w:r>
            </w:hyperlink>
          </w:p>
        </w:tc>
        <w:tc>
          <w:tcPr>
            <w:tcW w:w="481" w:type="dxa"/>
            <w:tcBorders/>
            <w:vAlign w:val="center"/>
          </w:tcPr>
          <w:p>
            <w:pPr>
              <w:pStyle w:val="TableContents"/>
              <w:bidi w:val="0"/>
              <w:spacing w:lineRule="atLeast" w:line="200" w:before="0" w:after="0"/>
              <w:jc w:val="left"/>
              <w:rPr/>
            </w:pPr>
            <w:hyperlink w:anchor="i58145abcaafa48e7989f6d9d42fef3d4">
              <w:r>
                <w:rPr>
                  <w:rStyle w:val="InternetLink"/>
                  <w:rFonts w:ascii="Arial;sans-serif" w:hAnsi="Arial;sans-serif"/>
                  <w:b w:val="false"/>
                  <w:i w:val="false"/>
                  <w:caps w:val="false"/>
                  <w:smallCaps w:val="false"/>
                  <w:strike w:val="false"/>
                  <w:dstrike w:val="false"/>
                  <w:color w:val="0B436E"/>
                  <w:sz w:val="20"/>
                  <w:u w:val="single"/>
                  <w:effect w:val="none"/>
                </w:rPr>
                <w:t>12</w:t>
              </w:r>
            </w:hyperlink>
          </w:p>
        </w:tc>
      </w:tr>
      <w:tr>
        <w:trPr/>
        <w:tc>
          <w:tcPr>
            <w:tcW w:w="8446" w:type="dxa"/>
            <w:tcBorders/>
            <w:vAlign w:val="center"/>
          </w:tcPr>
          <w:p>
            <w:pPr>
              <w:pStyle w:val="TableContents"/>
              <w:bidi w:val="0"/>
              <w:spacing w:lineRule="atLeast" w:line="200" w:before="0" w:after="0"/>
              <w:jc w:val="left"/>
              <w:rPr/>
            </w:pPr>
            <w:hyperlink w:anchor="ifb6f8da9b8a74827907e8ba3eab4b5e9">
              <w:r>
                <w:rPr>
                  <w:rStyle w:val="InternetLink"/>
                  <w:rFonts w:ascii="Arial;sans-serif" w:hAnsi="Arial;sans-serif"/>
                  <w:b w:val="false"/>
                  <w:i w:val="false"/>
                  <w:caps w:val="false"/>
                  <w:smallCaps w:val="false"/>
                  <w:strike w:val="false"/>
                  <w:dstrike w:val="false"/>
                  <w:color w:val="000080"/>
                  <w:sz w:val="20"/>
                  <w:u w:val="single"/>
                  <w:effect w:val="none"/>
                </w:rPr>
                <w:t>3</w:t>
              </w:r>
            </w:hyperlink>
            <w:hyperlink w:anchor="ifb6f8da9b8a74827907e8ba3eab4b5e9">
              <w:r>
                <w:rPr>
                  <w:rStyle w:val="InternetLink"/>
                  <w:rFonts w:ascii="Arial;sans-serif" w:hAnsi="Arial;sans-serif"/>
                  <w:b w:val="false"/>
                  <w:i w:val="false"/>
                  <w:caps w:val="false"/>
                  <w:smallCaps w:val="false"/>
                  <w:strike w:val="false"/>
                  <w:dstrike w:val="false"/>
                  <w:color w:val="000080"/>
                  <w:sz w:val="20"/>
                  <w:u w:val="single"/>
                  <w:effect w:val="none"/>
                </w:rPr>
                <w:t>Inventories</w:t>
              </w:r>
            </w:hyperlink>
          </w:p>
        </w:tc>
        <w:tc>
          <w:tcPr>
            <w:tcW w:w="481" w:type="dxa"/>
            <w:tcBorders/>
            <w:vAlign w:val="center"/>
          </w:tcPr>
          <w:p>
            <w:pPr>
              <w:pStyle w:val="TableContents"/>
              <w:bidi w:val="0"/>
              <w:spacing w:lineRule="atLeast" w:line="200" w:before="0" w:after="0"/>
              <w:jc w:val="left"/>
              <w:rPr/>
            </w:pPr>
            <w:hyperlink w:anchor="ifb6f8da9b8a74827907e8ba3eab4b5e9">
              <w:r>
                <w:rPr>
                  <w:rStyle w:val="InternetLink"/>
                  <w:rFonts w:ascii="Arial;sans-serif" w:hAnsi="Arial;sans-serif"/>
                  <w:b w:val="false"/>
                  <w:i w:val="false"/>
                  <w:caps w:val="false"/>
                  <w:smallCaps w:val="false"/>
                  <w:strike w:val="false"/>
                  <w:dstrike w:val="false"/>
                  <w:color w:val="0B436E"/>
                  <w:sz w:val="20"/>
                  <w:u w:val="single"/>
                  <w:effect w:val="none"/>
                </w:rPr>
                <w:t>13</w:t>
              </w:r>
            </w:hyperlink>
          </w:p>
        </w:tc>
      </w:tr>
      <w:tr>
        <w:trPr/>
        <w:tc>
          <w:tcPr>
            <w:tcW w:w="8446" w:type="dxa"/>
            <w:tcBorders/>
            <w:vAlign w:val="center"/>
          </w:tcPr>
          <w:p>
            <w:pPr>
              <w:pStyle w:val="TableContents"/>
              <w:bidi w:val="0"/>
              <w:spacing w:lineRule="atLeast" w:line="200" w:before="0" w:after="0"/>
              <w:jc w:val="left"/>
              <w:rPr/>
            </w:pPr>
            <w:hyperlink w:anchor="i5961a578f86548aa9ea1afa373f4a30c">
              <w:r>
                <w:rPr>
                  <w:rStyle w:val="InternetLink"/>
                  <w:rFonts w:ascii="Arial;sans-serif" w:hAnsi="Arial;sans-serif"/>
                  <w:b w:val="false"/>
                  <w:i w:val="false"/>
                  <w:caps w:val="false"/>
                  <w:smallCaps w:val="false"/>
                  <w:strike w:val="false"/>
                  <w:dstrike w:val="false"/>
                  <w:color w:val="000080"/>
                  <w:sz w:val="20"/>
                  <w:u w:val="single"/>
                  <w:effect w:val="none"/>
                </w:rPr>
                <w:t>4</w:t>
              </w:r>
            </w:hyperlink>
            <w:hyperlink w:anchor="i5961a578f86548aa9ea1afa373f4a30c">
              <w:r>
                <w:rPr>
                  <w:rStyle w:val="InternetLink"/>
                  <w:rFonts w:ascii="Arial;sans-serif" w:hAnsi="Arial;sans-serif"/>
                  <w:b w:val="false"/>
                  <w:i w:val="false"/>
                  <w:caps w:val="false"/>
                  <w:smallCaps w:val="false"/>
                  <w:strike w:val="false"/>
                  <w:dstrike w:val="false"/>
                  <w:color w:val="000080"/>
                  <w:sz w:val="20"/>
                  <w:u w:val="single"/>
                  <w:effect w:val="none"/>
                </w:rPr>
                <w:t>Trade and other receivables</w:t>
              </w:r>
            </w:hyperlink>
          </w:p>
        </w:tc>
        <w:tc>
          <w:tcPr>
            <w:tcW w:w="481" w:type="dxa"/>
            <w:tcBorders/>
            <w:vAlign w:val="center"/>
          </w:tcPr>
          <w:p>
            <w:pPr>
              <w:pStyle w:val="TableContents"/>
              <w:bidi w:val="0"/>
              <w:spacing w:lineRule="atLeast" w:line="200" w:before="0" w:after="0"/>
              <w:jc w:val="left"/>
              <w:rPr/>
            </w:pPr>
            <w:hyperlink w:anchor="i5961a578f86548aa9ea1afa373f4a30c">
              <w:r>
                <w:rPr>
                  <w:rStyle w:val="InternetLink"/>
                  <w:rFonts w:ascii="Arial;sans-serif" w:hAnsi="Arial;sans-serif"/>
                  <w:b w:val="false"/>
                  <w:i w:val="false"/>
                  <w:caps w:val="false"/>
                  <w:smallCaps w:val="false"/>
                  <w:strike w:val="false"/>
                  <w:dstrike w:val="false"/>
                  <w:color w:val="0B436E"/>
                  <w:sz w:val="20"/>
                  <w:u w:val="single"/>
                  <w:effect w:val="none"/>
                </w:rPr>
                <w:t>13</w:t>
              </w:r>
            </w:hyperlink>
          </w:p>
        </w:tc>
      </w:tr>
      <w:tr>
        <w:trPr/>
        <w:tc>
          <w:tcPr>
            <w:tcW w:w="8446" w:type="dxa"/>
            <w:tcBorders/>
            <w:vAlign w:val="center"/>
          </w:tcPr>
          <w:p>
            <w:pPr>
              <w:pStyle w:val="TableContents"/>
              <w:bidi w:val="0"/>
              <w:spacing w:lineRule="atLeast" w:line="200" w:before="0" w:after="0"/>
              <w:jc w:val="left"/>
              <w:rPr/>
            </w:pPr>
            <w:hyperlink w:anchor="id34b91556a074da68a718e89f45002fc">
              <w:r>
                <w:rPr>
                  <w:rStyle w:val="InternetLink"/>
                  <w:rFonts w:ascii="Arial;sans-serif" w:hAnsi="Arial;sans-serif"/>
                  <w:b w:val="false"/>
                  <w:i w:val="false"/>
                  <w:caps w:val="false"/>
                  <w:smallCaps w:val="false"/>
                  <w:strike w:val="false"/>
                  <w:dstrike w:val="false"/>
                  <w:color w:val="000080"/>
                  <w:sz w:val="20"/>
                  <w:u w:val="single"/>
                  <w:effect w:val="none"/>
                </w:rPr>
                <w:t>5</w:t>
              </w:r>
            </w:hyperlink>
            <w:hyperlink w:anchor="id34b91556a074da68a718e89f45002fc">
              <w:r>
                <w:rPr>
                  <w:rStyle w:val="InternetLink"/>
                  <w:rFonts w:ascii="Arial;sans-serif" w:hAnsi="Arial;sans-serif"/>
                  <w:b w:val="false"/>
                  <w:i w:val="false"/>
                  <w:caps w:val="false"/>
                  <w:smallCaps w:val="false"/>
                  <w:strike w:val="false"/>
                  <w:dstrike w:val="false"/>
                  <w:color w:val="000080"/>
                  <w:sz w:val="20"/>
                  <w:u w:val="single"/>
                  <w:effect w:val="none"/>
                </w:rPr>
                <w:t>Financial assets - Current</w:t>
              </w:r>
            </w:hyperlink>
          </w:p>
        </w:tc>
        <w:tc>
          <w:tcPr>
            <w:tcW w:w="481" w:type="dxa"/>
            <w:tcBorders/>
            <w:vAlign w:val="center"/>
          </w:tcPr>
          <w:p>
            <w:pPr>
              <w:pStyle w:val="TableContents"/>
              <w:bidi w:val="0"/>
              <w:spacing w:lineRule="atLeast" w:line="200" w:before="0" w:after="0"/>
              <w:jc w:val="left"/>
              <w:rPr/>
            </w:pPr>
            <w:hyperlink w:anchor="id34b91556a074da68a718e89f45002fc">
              <w:r>
                <w:rPr>
                  <w:rStyle w:val="InternetLink"/>
                  <w:rFonts w:ascii="Arial;sans-serif" w:hAnsi="Arial;sans-serif"/>
                  <w:b w:val="false"/>
                  <w:i w:val="false"/>
                  <w:caps w:val="false"/>
                  <w:smallCaps w:val="false"/>
                  <w:strike w:val="false"/>
                  <w:dstrike w:val="false"/>
                  <w:color w:val="0B436E"/>
                  <w:sz w:val="20"/>
                  <w:u w:val="single"/>
                  <w:effect w:val="none"/>
                </w:rPr>
                <w:t>13</w:t>
              </w:r>
            </w:hyperlink>
          </w:p>
        </w:tc>
      </w:tr>
      <w:tr>
        <w:trPr/>
        <w:tc>
          <w:tcPr>
            <w:tcW w:w="8446" w:type="dxa"/>
            <w:tcBorders/>
            <w:vAlign w:val="center"/>
          </w:tcPr>
          <w:p>
            <w:pPr>
              <w:pStyle w:val="TableContents"/>
              <w:bidi w:val="0"/>
              <w:spacing w:lineRule="atLeast" w:line="200" w:before="0" w:after="0"/>
              <w:jc w:val="left"/>
              <w:rPr/>
            </w:pPr>
            <w:hyperlink w:anchor="i912db19226f340a4973d10becf2d22cd">
              <w:r>
                <w:rPr>
                  <w:rStyle w:val="InternetLink"/>
                  <w:rFonts w:ascii="Arial;sans-serif" w:hAnsi="Arial;sans-serif"/>
                  <w:b w:val="false"/>
                  <w:i w:val="false"/>
                  <w:caps w:val="false"/>
                  <w:smallCaps w:val="false"/>
                  <w:strike w:val="false"/>
                  <w:dstrike w:val="false"/>
                  <w:color w:val="000080"/>
                  <w:sz w:val="20"/>
                  <w:u w:val="single"/>
                  <w:effect w:val="none"/>
                </w:rPr>
                <w:t>6</w:t>
              </w:r>
            </w:hyperlink>
            <w:hyperlink w:anchor="i912db19226f340a4973d10becf2d22cd">
              <w:r>
                <w:rPr>
                  <w:rStyle w:val="InternetLink"/>
                  <w:rFonts w:ascii="Arial;sans-serif" w:hAnsi="Arial;sans-serif"/>
                  <w:b w:val="false"/>
                  <w:i w:val="false"/>
                  <w:caps w:val="false"/>
                  <w:smallCaps w:val="false"/>
                  <w:strike w:val="false"/>
                  <w:dstrike w:val="false"/>
                  <w:color w:val="000080"/>
                  <w:sz w:val="20"/>
                  <w:u w:val="single"/>
                  <w:effect w:val="none"/>
                </w:rPr>
                <w:t>Cash and cash equivalents</w:t>
              </w:r>
            </w:hyperlink>
          </w:p>
        </w:tc>
        <w:tc>
          <w:tcPr>
            <w:tcW w:w="481" w:type="dxa"/>
            <w:tcBorders/>
            <w:vAlign w:val="center"/>
          </w:tcPr>
          <w:p>
            <w:pPr>
              <w:pStyle w:val="TableContents"/>
              <w:bidi w:val="0"/>
              <w:spacing w:lineRule="atLeast" w:line="200" w:before="0" w:after="0"/>
              <w:jc w:val="left"/>
              <w:rPr/>
            </w:pPr>
            <w:hyperlink w:anchor="i912db19226f340a4973d10becf2d22cd">
              <w:r>
                <w:rPr>
                  <w:rStyle w:val="InternetLink"/>
                  <w:rFonts w:ascii="Arial;sans-serif" w:hAnsi="Arial;sans-serif"/>
                  <w:b w:val="false"/>
                  <w:i w:val="false"/>
                  <w:caps w:val="false"/>
                  <w:smallCaps w:val="false"/>
                  <w:strike w:val="false"/>
                  <w:dstrike w:val="false"/>
                  <w:color w:val="0B436E"/>
                  <w:sz w:val="20"/>
                  <w:u w:val="single"/>
                  <w:effect w:val="none"/>
                </w:rPr>
                <w:t>14</w:t>
              </w:r>
            </w:hyperlink>
          </w:p>
        </w:tc>
      </w:tr>
      <w:tr>
        <w:trPr/>
        <w:tc>
          <w:tcPr>
            <w:tcW w:w="8446" w:type="dxa"/>
            <w:tcBorders/>
            <w:vAlign w:val="center"/>
          </w:tcPr>
          <w:p>
            <w:pPr>
              <w:pStyle w:val="TableContents"/>
              <w:bidi w:val="0"/>
              <w:spacing w:lineRule="atLeast" w:line="200" w:before="0" w:after="0"/>
              <w:jc w:val="left"/>
              <w:rPr/>
            </w:pPr>
            <w:hyperlink w:anchor="i5fdbfc851c9c49b6b7b966aac28a9cad">
              <w:r>
                <w:rPr>
                  <w:rStyle w:val="InternetLink"/>
                  <w:rFonts w:ascii="Arial;sans-serif" w:hAnsi="Arial;sans-serif"/>
                  <w:b w:val="false"/>
                  <w:i w:val="false"/>
                  <w:caps w:val="false"/>
                  <w:smallCaps w:val="false"/>
                  <w:strike w:val="false"/>
                  <w:dstrike w:val="false"/>
                  <w:color w:val="000080"/>
                  <w:sz w:val="20"/>
                  <w:u w:val="single"/>
                  <w:effect w:val="none"/>
                </w:rPr>
                <w:t>7</w:t>
              </w:r>
            </w:hyperlink>
            <w:hyperlink w:anchor="i5fdbfc851c9c49b6b7b966aac28a9cad">
              <w:r>
                <w:rPr>
                  <w:rStyle w:val="InternetLink"/>
                  <w:rFonts w:ascii="Arial;sans-serif" w:hAnsi="Arial;sans-serif"/>
                  <w:b w:val="false"/>
                  <w:i w:val="false"/>
                  <w:caps w:val="false"/>
                  <w:smallCaps w:val="false"/>
                  <w:strike w:val="false"/>
                  <w:dstrike w:val="false"/>
                  <w:color w:val="000080"/>
                  <w:sz w:val="20"/>
                  <w:u w:val="single"/>
                  <w:effect w:val="none"/>
                </w:rPr>
                <w:t>Share capital and share premium</w:t>
              </w:r>
            </w:hyperlink>
          </w:p>
        </w:tc>
        <w:tc>
          <w:tcPr>
            <w:tcW w:w="481" w:type="dxa"/>
            <w:tcBorders/>
            <w:vAlign w:val="center"/>
          </w:tcPr>
          <w:p>
            <w:pPr>
              <w:pStyle w:val="TableContents"/>
              <w:bidi w:val="0"/>
              <w:spacing w:lineRule="atLeast" w:line="200" w:before="0" w:after="0"/>
              <w:jc w:val="left"/>
              <w:rPr/>
            </w:pPr>
            <w:hyperlink w:anchor="i5fdbfc851c9c49b6b7b966aac28a9cad">
              <w:r>
                <w:rPr>
                  <w:rStyle w:val="InternetLink"/>
                  <w:rFonts w:ascii="Arial;sans-serif" w:hAnsi="Arial;sans-serif"/>
                  <w:b w:val="false"/>
                  <w:i w:val="false"/>
                  <w:caps w:val="false"/>
                  <w:smallCaps w:val="false"/>
                  <w:strike w:val="false"/>
                  <w:dstrike w:val="false"/>
                  <w:color w:val="0B436E"/>
                  <w:sz w:val="20"/>
                  <w:u w:val="single"/>
                  <w:effect w:val="none"/>
                </w:rPr>
                <w:t>14</w:t>
              </w:r>
            </w:hyperlink>
          </w:p>
        </w:tc>
      </w:tr>
      <w:tr>
        <w:trPr/>
        <w:tc>
          <w:tcPr>
            <w:tcW w:w="8446" w:type="dxa"/>
            <w:tcBorders/>
            <w:vAlign w:val="center"/>
          </w:tcPr>
          <w:p>
            <w:pPr>
              <w:pStyle w:val="TableContents"/>
              <w:bidi w:val="0"/>
              <w:spacing w:lineRule="atLeast" w:line="200" w:before="0" w:after="0"/>
              <w:jc w:val="left"/>
              <w:rPr/>
            </w:pPr>
            <w:hyperlink w:anchor="i05559e01a1c4489e973935ceccc5a3ee">
              <w:r>
                <w:rPr>
                  <w:rStyle w:val="InternetLink"/>
                  <w:rFonts w:ascii="Arial;sans-serif" w:hAnsi="Arial;sans-serif"/>
                  <w:b w:val="false"/>
                  <w:i w:val="false"/>
                  <w:caps w:val="false"/>
                  <w:smallCaps w:val="false"/>
                  <w:strike w:val="false"/>
                  <w:dstrike w:val="false"/>
                  <w:color w:val="000080"/>
                  <w:sz w:val="20"/>
                  <w:u w:val="single"/>
                  <w:effect w:val="none"/>
                </w:rPr>
                <w:t>8</w:t>
              </w:r>
            </w:hyperlink>
            <w:hyperlink w:anchor="i05559e01a1c4489e973935ceccc5a3ee">
              <w:r>
                <w:rPr>
                  <w:rStyle w:val="InternetLink"/>
                  <w:rFonts w:ascii="Arial;sans-serif" w:hAnsi="Arial;sans-serif"/>
                  <w:b w:val="false"/>
                  <w:i w:val="false"/>
                  <w:caps w:val="false"/>
                  <w:smallCaps w:val="false"/>
                  <w:strike w:val="false"/>
                  <w:dstrike w:val="false"/>
                  <w:color w:val="000080"/>
                  <w:sz w:val="20"/>
                  <w:u w:val="single"/>
                  <w:effect w:val="none"/>
                </w:rPr>
                <w:t>Share-based payments</w:t>
              </w:r>
            </w:hyperlink>
          </w:p>
        </w:tc>
        <w:tc>
          <w:tcPr>
            <w:tcW w:w="481" w:type="dxa"/>
            <w:tcBorders/>
            <w:vAlign w:val="center"/>
          </w:tcPr>
          <w:p>
            <w:pPr>
              <w:pStyle w:val="TableContents"/>
              <w:bidi w:val="0"/>
              <w:spacing w:lineRule="atLeast" w:line="200" w:before="0" w:after="0"/>
              <w:jc w:val="left"/>
              <w:rPr/>
            </w:pPr>
            <w:hyperlink w:anchor="i05559e01a1c4489e973935ceccc5a3ee">
              <w:r>
                <w:rPr>
                  <w:rStyle w:val="InternetLink"/>
                  <w:rFonts w:ascii="Arial;sans-serif" w:hAnsi="Arial;sans-serif"/>
                  <w:b w:val="false"/>
                  <w:i w:val="false"/>
                  <w:caps w:val="false"/>
                  <w:smallCaps w:val="false"/>
                  <w:strike w:val="false"/>
                  <w:dstrike w:val="false"/>
                  <w:color w:val="0B436E"/>
                  <w:sz w:val="20"/>
                  <w:u w:val="single"/>
                  <w:effect w:val="none"/>
                </w:rPr>
                <w:t>14</w:t>
              </w:r>
            </w:hyperlink>
          </w:p>
        </w:tc>
      </w:tr>
      <w:tr>
        <w:trPr/>
        <w:tc>
          <w:tcPr>
            <w:tcW w:w="8446" w:type="dxa"/>
            <w:tcBorders/>
            <w:vAlign w:val="center"/>
          </w:tcPr>
          <w:p>
            <w:pPr>
              <w:pStyle w:val="TableContents"/>
              <w:bidi w:val="0"/>
              <w:spacing w:lineRule="atLeast" w:line="200" w:before="0" w:after="0"/>
              <w:jc w:val="left"/>
              <w:rPr/>
            </w:pPr>
            <w:hyperlink w:anchor="i9335dc12d48840f48d62cdb6077ed0f0">
              <w:r>
                <w:rPr>
                  <w:rStyle w:val="InternetLink"/>
                  <w:rFonts w:ascii="Arial;sans-serif" w:hAnsi="Arial;sans-serif"/>
                  <w:b w:val="false"/>
                  <w:i w:val="false"/>
                  <w:caps w:val="false"/>
                  <w:smallCaps w:val="false"/>
                  <w:strike w:val="false"/>
                  <w:dstrike w:val="false"/>
                  <w:color w:val="000080"/>
                  <w:sz w:val="20"/>
                  <w:u w:val="single"/>
                  <w:effect w:val="none"/>
                </w:rPr>
                <w:t>9</w:t>
              </w:r>
            </w:hyperlink>
            <w:hyperlink w:anchor="i9335dc12d48840f48d62cdb6077ed0f0">
              <w:r>
                <w:rPr>
                  <w:rStyle w:val="InternetLink"/>
                  <w:rFonts w:ascii="Arial;sans-serif" w:hAnsi="Arial;sans-serif"/>
                  <w:b w:val="false"/>
                  <w:i w:val="false"/>
                  <w:caps w:val="false"/>
                  <w:smallCaps w:val="false"/>
                  <w:strike w:val="false"/>
                  <w:dstrike w:val="false"/>
                  <w:color w:val="000080"/>
                  <w:sz w:val="20"/>
                  <w:u w:val="single"/>
                  <w:effect w:val="none"/>
                </w:rPr>
                <w:t>Trade and other payables</w:t>
              </w:r>
            </w:hyperlink>
          </w:p>
        </w:tc>
        <w:tc>
          <w:tcPr>
            <w:tcW w:w="481" w:type="dxa"/>
            <w:tcBorders/>
            <w:vAlign w:val="center"/>
          </w:tcPr>
          <w:p>
            <w:pPr>
              <w:pStyle w:val="TableContents"/>
              <w:bidi w:val="0"/>
              <w:spacing w:lineRule="atLeast" w:line="200" w:before="0" w:after="0"/>
              <w:jc w:val="left"/>
              <w:rPr/>
            </w:pPr>
            <w:hyperlink w:anchor="i9335dc12d48840f48d62cdb6077ed0f0">
              <w:r>
                <w:rPr>
                  <w:rStyle w:val="InternetLink"/>
                  <w:rFonts w:ascii="Arial;sans-serif" w:hAnsi="Arial;sans-serif"/>
                  <w:b w:val="false"/>
                  <w:i w:val="false"/>
                  <w:caps w:val="false"/>
                  <w:smallCaps w:val="false"/>
                  <w:strike w:val="false"/>
                  <w:dstrike w:val="false"/>
                  <w:color w:val="0B436E"/>
                  <w:sz w:val="20"/>
                  <w:u w:val="single"/>
                  <w:effect w:val="none"/>
                </w:rPr>
                <w:t>16</w:t>
              </w:r>
            </w:hyperlink>
          </w:p>
        </w:tc>
      </w:tr>
      <w:tr>
        <w:trPr/>
        <w:tc>
          <w:tcPr>
            <w:tcW w:w="8446" w:type="dxa"/>
            <w:tcBorders/>
            <w:vAlign w:val="center"/>
          </w:tcPr>
          <w:p>
            <w:pPr>
              <w:pStyle w:val="TableContents"/>
              <w:bidi w:val="0"/>
              <w:spacing w:lineRule="atLeast" w:line="200" w:before="0" w:after="0"/>
              <w:jc w:val="left"/>
              <w:rPr/>
            </w:pPr>
            <w:hyperlink w:anchor="i5531ff34f437449cab515d160f2b705b">
              <w:r>
                <w:rPr>
                  <w:rStyle w:val="InternetLink"/>
                  <w:rFonts w:ascii="Arial;sans-serif" w:hAnsi="Arial;sans-serif"/>
                  <w:b w:val="false"/>
                  <w:i w:val="false"/>
                  <w:caps w:val="false"/>
                  <w:smallCaps w:val="false"/>
                  <w:strike w:val="false"/>
                  <w:dstrike w:val="false"/>
                  <w:color w:val="000080"/>
                  <w:sz w:val="20"/>
                  <w:u w:val="single"/>
                  <w:effect w:val="none"/>
                </w:rPr>
                <w:t>10</w:t>
              </w:r>
            </w:hyperlink>
            <w:hyperlink w:anchor="i5531ff34f437449cab515d160f2b705b">
              <w:r>
                <w:rPr>
                  <w:rStyle w:val="InternetLink"/>
                  <w:rFonts w:ascii="Arial;sans-serif" w:hAnsi="Arial;sans-serif"/>
                  <w:b w:val="false"/>
                  <w:i w:val="false"/>
                  <w:caps w:val="false"/>
                  <w:smallCaps w:val="false"/>
                  <w:strike w:val="false"/>
                  <w:dstrike w:val="false"/>
                  <w:color w:val="000080"/>
                  <w:sz w:val="20"/>
                  <w:u w:val="single"/>
                  <w:effect w:val="none"/>
                </w:rPr>
                <w:t>Segment reporting</w:t>
              </w:r>
            </w:hyperlink>
          </w:p>
        </w:tc>
        <w:tc>
          <w:tcPr>
            <w:tcW w:w="481" w:type="dxa"/>
            <w:tcBorders/>
            <w:vAlign w:val="center"/>
          </w:tcPr>
          <w:p>
            <w:pPr>
              <w:pStyle w:val="TableContents"/>
              <w:bidi w:val="0"/>
              <w:spacing w:lineRule="atLeast" w:line="200" w:before="0" w:after="0"/>
              <w:jc w:val="left"/>
              <w:rPr/>
            </w:pPr>
            <w:hyperlink w:anchor="i5531ff34f437449cab515d160f2b705b">
              <w:r>
                <w:rPr>
                  <w:rStyle w:val="InternetLink"/>
                  <w:rFonts w:ascii="Arial;sans-serif" w:hAnsi="Arial;sans-serif"/>
                  <w:b w:val="false"/>
                  <w:i w:val="false"/>
                  <w:caps w:val="false"/>
                  <w:smallCaps w:val="false"/>
                  <w:strike w:val="false"/>
                  <w:dstrike w:val="false"/>
                  <w:color w:val="0B436E"/>
                  <w:sz w:val="20"/>
                  <w:u w:val="single"/>
                  <w:effect w:val="none"/>
                </w:rPr>
                <w:t>17</w:t>
              </w:r>
            </w:hyperlink>
          </w:p>
        </w:tc>
      </w:tr>
      <w:tr>
        <w:trPr/>
        <w:tc>
          <w:tcPr>
            <w:tcW w:w="8446" w:type="dxa"/>
            <w:tcBorders/>
            <w:vAlign w:val="center"/>
          </w:tcPr>
          <w:p>
            <w:pPr>
              <w:pStyle w:val="TableContents"/>
              <w:bidi w:val="0"/>
              <w:spacing w:lineRule="atLeast" w:line="200" w:before="0" w:after="0"/>
              <w:jc w:val="left"/>
              <w:rPr/>
            </w:pPr>
            <w:hyperlink w:anchor="i94acb2e62d614d1796de0f68c55a0bf5">
              <w:r>
                <w:rPr>
                  <w:rStyle w:val="InternetLink"/>
                  <w:rFonts w:ascii="Arial;sans-serif" w:hAnsi="Arial;sans-serif"/>
                  <w:b w:val="false"/>
                  <w:i w:val="false"/>
                  <w:caps w:val="false"/>
                  <w:smallCaps w:val="false"/>
                  <w:strike w:val="false"/>
                  <w:dstrike w:val="false"/>
                  <w:color w:val="000080"/>
                  <w:sz w:val="20"/>
                  <w:u w:val="single"/>
                  <w:effect w:val="none"/>
                </w:rPr>
                <w:t>11</w:t>
              </w:r>
            </w:hyperlink>
            <w:hyperlink w:anchor="i94acb2e62d614d1796de0f68c55a0bf5">
              <w:r>
                <w:rPr>
                  <w:rStyle w:val="InternetLink"/>
                  <w:rFonts w:ascii="Arial;sans-serif" w:hAnsi="Arial;sans-serif"/>
                  <w:b w:val="false"/>
                  <w:i w:val="false"/>
                  <w:caps w:val="false"/>
                  <w:smallCaps w:val="false"/>
                  <w:strike w:val="false"/>
                  <w:dstrike w:val="false"/>
                  <w:color w:val="000080"/>
                  <w:sz w:val="20"/>
                  <w:u w:val="single"/>
                  <w:effect w:val="none"/>
                </w:rPr>
                <w:t>Research and development expenses</w:t>
              </w:r>
            </w:hyperlink>
          </w:p>
        </w:tc>
        <w:tc>
          <w:tcPr>
            <w:tcW w:w="481" w:type="dxa"/>
            <w:tcBorders/>
            <w:vAlign w:val="center"/>
          </w:tcPr>
          <w:p>
            <w:pPr>
              <w:pStyle w:val="TableContents"/>
              <w:bidi w:val="0"/>
              <w:spacing w:lineRule="atLeast" w:line="200" w:before="0" w:after="0"/>
              <w:jc w:val="left"/>
              <w:rPr/>
            </w:pPr>
            <w:hyperlink w:anchor="i94acb2e62d614d1796de0f68c55a0bf5">
              <w:r>
                <w:rPr>
                  <w:rStyle w:val="InternetLink"/>
                  <w:rFonts w:ascii="Arial;sans-serif" w:hAnsi="Arial;sans-serif"/>
                  <w:b w:val="false"/>
                  <w:i w:val="false"/>
                  <w:caps w:val="false"/>
                  <w:smallCaps w:val="false"/>
                  <w:strike w:val="false"/>
                  <w:dstrike w:val="false"/>
                  <w:color w:val="0B436E"/>
                  <w:sz w:val="20"/>
                  <w:u w:val="single"/>
                  <w:effect w:val="none"/>
                </w:rPr>
                <w:t>18</w:t>
              </w:r>
            </w:hyperlink>
          </w:p>
        </w:tc>
      </w:tr>
      <w:tr>
        <w:trPr/>
        <w:tc>
          <w:tcPr>
            <w:tcW w:w="8446" w:type="dxa"/>
            <w:tcBorders/>
            <w:vAlign w:val="center"/>
          </w:tcPr>
          <w:p>
            <w:pPr>
              <w:pStyle w:val="TableContents"/>
              <w:bidi w:val="0"/>
              <w:spacing w:lineRule="atLeast" w:line="200" w:before="0" w:after="0"/>
              <w:jc w:val="left"/>
              <w:rPr/>
            </w:pPr>
            <w:hyperlink w:anchor="i9f0621241cbd496a8cbbb199af5848da">
              <w:r>
                <w:rPr>
                  <w:rStyle w:val="InternetLink"/>
                  <w:rFonts w:ascii="Arial;sans-serif" w:hAnsi="Arial;sans-serif"/>
                  <w:b w:val="false"/>
                  <w:i w:val="false"/>
                  <w:caps w:val="false"/>
                  <w:smallCaps w:val="false"/>
                  <w:strike w:val="false"/>
                  <w:dstrike w:val="false"/>
                  <w:color w:val="000080"/>
                  <w:sz w:val="20"/>
                  <w:u w:val="single"/>
                  <w:effect w:val="none"/>
                </w:rPr>
                <w:t>12</w:t>
              </w:r>
            </w:hyperlink>
            <w:hyperlink w:anchor="i9f0621241cbd496a8cbbb199af5848da">
              <w:r>
                <w:rPr>
                  <w:rStyle w:val="InternetLink"/>
                  <w:rFonts w:ascii="Arial;sans-serif" w:hAnsi="Arial;sans-serif"/>
                  <w:b w:val="false"/>
                  <w:i w:val="false"/>
                  <w:caps w:val="false"/>
                  <w:smallCaps w:val="false"/>
                  <w:strike w:val="false"/>
                  <w:dstrike w:val="false"/>
                  <w:color w:val="000080"/>
                  <w:sz w:val="20"/>
                  <w:u w:val="single"/>
                  <w:effect w:val="none"/>
                </w:rPr>
                <w:t>Selling, general and administrative expenses</w:t>
              </w:r>
            </w:hyperlink>
          </w:p>
        </w:tc>
        <w:tc>
          <w:tcPr>
            <w:tcW w:w="481" w:type="dxa"/>
            <w:tcBorders/>
            <w:vAlign w:val="center"/>
          </w:tcPr>
          <w:p>
            <w:pPr>
              <w:pStyle w:val="TableContents"/>
              <w:bidi w:val="0"/>
              <w:spacing w:lineRule="atLeast" w:line="200" w:before="0" w:after="0"/>
              <w:jc w:val="left"/>
              <w:rPr/>
            </w:pPr>
            <w:hyperlink w:anchor="i9f0621241cbd496a8cbbb199af5848da">
              <w:r>
                <w:rPr>
                  <w:rStyle w:val="InternetLink"/>
                  <w:rFonts w:ascii="Arial;sans-serif" w:hAnsi="Arial;sans-serif"/>
                  <w:b w:val="false"/>
                  <w:i w:val="false"/>
                  <w:caps w:val="false"/>
                  <w:smallCaps w:val="false"/>
                  <w:strike w:val="false"/>
                  <w:dstrike w:val="false"/>
                  <w:color w:val="0B436E"/>
                  <w:sz w:val="20"/>
                  <w:u w:val="single"/>
                  <w:effect w:val="none"/>
                </w:rPr>
                <w:t>18</w:t>
              </w:r>
            </w:hyperlink>
          </w:p>
        </w:tc>
      </w:tr>
      <w:tr>
        <w:trPr/>
        <w:tc>
          <w:tcPr>
            <w:tcW w:w="8446" w:type="dxa"/>
            <w:tcBorders/>
            <w:vAlign w:val="center"/>
          </w:tcPr>
          <w:p>
            <w:pPr>
              <w:pStyle w:val="TableContents"/>
              <w:bidi w:val="0"/>
              <w:spacing w:lineRule="atLeast" w:line="200" w:before="0" w:after="0"/>
              <w:jc w:val="left"/>
              <w:rPr/>
            </w:pPr>
            <w:hyperlink w:anchor="i05e19ec8794c4134b3049fe4111514f5">
              <w:r>
                <w:rPr>
                  <w:rStyle w:val="InternetLink"/>
                  <w:rFonts w:ascii="Arial;sans-serif" w:hAnsi="Arial;sans-serif"/>
                  <w:b w:val="false"/>
                  <w:i w:val="false"/>
                  <w:caps w:val="false"/>
                  <w:smallCaps w:val="false"/>
                  <w:strike w:val="false"/>
                  <w:dstrike w:val="false"/>
                  <w:color w:val="000080"/>
                  <w:sz w:val="20"/>
                  <w:u w:val="single"/>
                  <w:effect w:val="none"/>
                </w:rPr>
                <w:t>13</w:t>
              </w:r>
            </w:hyperlink>
            <w:hyperlink w:anchor="i05e19ec8794c4134b3049fe4111514f5">
              <w:r>
                <w:rPr>
                  <w:rStyle w:val="InternetLink"/>
                  <w:rFonts w:ascii="Arial;sans-serif" w:hAnsi="Arial;sans-serif"/>
                  <w:b w:val="false"/>
                  <w:i w:val="false"/>
                  <w:caps w:val="false"/>
                  <w:smallCaps w:val="false"/>
                  <w:strike w:val="false"/>
                  <w:dstrike w:val="false"/>
                  <w:color w:val="000080"/>
                  <w:sz w:val="20"/>
                  <w:u w:val="single"/>
                  <w:effect w:val="none"/>
                </w:rPr>
                <w:t>Income taxes</w:t>
              </w:r>
            </w:hyperlink>
          </w:p>
        </w:tc>
        <w:tc>
          <w:tcPr>
            <w:tcW w:w="481" w:type="dxa"/>
            <w:tcBorders/>
            <w:vAlign w:val="center"/>
          </w:tcPr>
          <w:p>
            <w:pPr>
              <w:pStyle w:val="TableContents"/>
              <w:bidi w:val="0"/>
              <w:spacing w:lineRule="atLeast" w:line="200" w:before="0" w:after="0"/>
              <w:jc w:val="left"/>
              <w:rPr/>
            </w:pPr>
            <w:hyperlink w:anchor="i05e19ec8794c4134b3049fe4111514f5">
              <w:r>
                <w:rPr>
                  <w:rStyle w:val="InternetLink"/>
                  <w:rFonts w:ascii="Arial;sans-serif" w:hAnsi="Arial;sans-serif"/>
                  <w:b w:val="false"/>
                  <w:i w:val="false"/>
                  <w:caps w:val="false"/>
                  <w:smallCaps w:val="false"/>
                  <w:strike w:val="false"/>
                  <w:dstrike w:val="false"/>
                  <w:color w:val="0B436E"/>
                  <w:sz w:val="20"/>
                  <w:u w:val="single"/>
                  <w:effect w:val="none"/>
                </w:rPr>
                <w:t>18</w:t>
              </w:r>
            </w:hyperlink>
          </w:p>
        </w:tc>
      </w:tr>
      <w:tr>
        <w:trPr/>
        <w:tc>
          <w:tcPr>
            <w:tcW w:w="8446" w:type="dxa"/>
            <w:tcBorders/>
            <w:vAlign w:val="center"/>
          </w:tcPr>
          <w:p>
            <w:pPr>
              <w:pStyle w:val="TableContents"/>
              <w:bidi w:val="0"/>
              <w:spacing w:lineRule="atLeast" w:line="200" w:before="0" w:after="0"/>
              <w:jc w:val="left"/>
              <w:rPr/>
            </w:pPr>
            <w:hyperlink w:anchor="i1c4c06573f05420fb09714b7da2d275d">
              <w:r>
                <w:rPr>
                  <w:rStyle w:val="InternetLink"/>
                  <w:rFonts w:ascii="Arial;sans-serif" w:hAnsi="Arial;sans-serif"/>
                  <w:b w:val="false"/>
                  <w:i w:val="false"/>
                  <w:caps w:val="false"/>
                  <w:smallCaps w:val="false"/>
                  <w:strike w:val="false"/>
                  <w:dstrike w:val="false"/>
                  <w:color w:val="000080"/>
                  <w:sz w:val="20"/>
                  <w:u w:val="single"/>
                  <w:effect w:val="none"/>
                </w:rPr>
                <w:t>14</w:t>
              </w:r>
            </w:hyperlink>
            <w:hyperlink w:anchor="i1c4c06573f05420fb09714b7da2d275d">
              <w:r>
                <w:rPr>
                  <w:rStyle w:val="InternetLink"/>
                  <w:rFonts w:ascii="Arial;sans-serif" w:hAnsi="Arial;sans-serif"/>
                  <w:b w:val="false"/>
                  <w:i w:val="false"/>
                  <w:caps w:val="false"/>
                  <w:smallCaps w:val="false"/>
                  <w:strike w:val="false"/>
                  <w:dstrike w:val="false"/>
                  <w:color w:val="000080"/>
                  <w:sz w:val="20"/>
                  <w:u w:val="single"/>
                  <w:effect w:val="none"/>
                </w:rPr>
                <w:t>Earnings per share</w:t>
              </w:r>
            </w:hyperlink>
          </w:p>
        </w:tc>
        <w:tc>
          <w:tcPr>
            <w:tcW w:w="481" w:type="dxa"/>
            <w:tcBorders/>
            <w:vAlign w:val="center"/>
          </w:tcPr>
          <w:p>
            <w:pPr>
              <w:pStyle w:val="TableContents"/>
              <w:bidi w:val="0"/>
              <w:spacing w:lineRule="atLeast" w:line="200" w:before="0" w:after="0"/>
              <w:jc w:val="left"/>
              <w:rPr/>
            </w:pPr>
            <w:hyperlink w:anchor="i1c4c06573f05420fb09714b7da2d275d">
              <w:r>
                <w:rPr>
                  <w:rStyle w:val="InternetLink"/>
                  <w:rFonts w:ascii="Arial;sans-serif" w:hAnsi="Arial;sans-serif"/>
                  <w:b w:val="false"/>
                  <w:i w:val="false"/>
                  <w:caps w:val="false"/>
                  <w:smallCaps w:val="false"/>
                  <w:strike w:val="false"/>
                  <w:dstrike w:val="false"/>
                  <w:color w:val="0B436E"/>
                  <w:sz w:val="20"/>
                  <w:u w:val="single"/>
                  <w:effect w:val="none"/>
                </w:rPr>
                <w:t>19</w:t>
              </w:r>
            </w:hyperlink>
          </w:p>
        </w:tc>
      </w:tr>
      <w:tr>
        <w:trPr/>
        <w:tc>
          <w:tcPr>
            <w:tcW w:w="8446" w:type="dxa"/>
            <w:tcBorders/>
            <w:vAlign w:val="center"/>
          </w:tcPr>
          <w:p>
            <w:pPr>
              <w:pStyle w:val="TableContents"/>
              <w:bidi w:val="0"/>
              <w:spacing w:lineRule="atLeast" w:line="200" w:before="0" w:after="0"/>
              <w:jc w:val="left"/>
              <w:rPr/>
            </w:pPr>
            <w:hyperlink w:anchor="i5c87842bcf8a4638a4c8bacfeeb308ac">
              <w:r>
                <w:rPr>
                  <w:rStyle w:val="InternetLink"/>
                  <w:rFonts w:ascii="Arial;sans-serif" w:hAnsi="Arial;sans-serif"/>
                  <w:b w:val="false"/>
                  <w:i w:val="false"/>
                  <w:caps w:val="false"/>
                  <w:smallCaps w:val="false"/>
                  <w:strike w:val="false"/>
                  <w:dstrike w:val="false"/>
                  <w:color w:val="000080"/>
                  <w:sz w:val="20"/>
                  <w:u w:val="single"/>
                  <w:effect w:val="none"/>
                </w:rPr>
                <w:t>15</w:t>
              </w:r>
            </w:hyperlink>
            <w:hyperlink w:anchor="i5c87842bcf8a4638a4c8bacfeeb308ac">
              <w:r>
                <w:rPr>
                  <w:rStyle w:val="InternetLink"/>
                  <w:rFonts w:ascii="Arial;sans-serif" w:hAnsi="Arial;sans-serif"/>
                  <w:b w:val="false"/>
                  <w:i w:val="false"/>
                  <w:caps w:val="false"/>
                  <w:smallCaps w:val="false"/>
                  <w:strike w:val="false"/>
                  <w:dstrike w:val="false"/>
                  <w:color w:val="000080"/>
                  <w:sz w:val="20"/>
                  <w:u w:val="single"/>
                  <w:effect w:val="none"/>
                </w:rPr>
                <w:t>Related party transactions</w:t>
              </w:r>
            </w:hyperlink>
          </w:p>
        </w:tc>
        <w:tc>
          <w:tcPr>
            <w:tcW w:w="481" w:type="dxa"/>
            <w:tcBorders/>
            <w:vAlign w:val="center"/>
          </w:tcPr>
          <w:p>
            <w:pPr>
              <w:pStyle w:val="TableContents"/>
              <w:bidi w:val="0"/>
              <w:spacing w:lineRule="atLeast" w:line="200" w:before="0" w:after="0"/>
              <w:jc w:val="left"/>
              <w:rPr/>
            </w:pPr>
            <w:hyperlink w:anchor="i5c87842bcf8a4638a4c8bacfeeb308ac">
              <w:r>
                <w:rPr>
                  <w:rStyle w:val="InternetLink"/>
                  <w:rFonts w:ascii="Arial;sans-serif" w:hAnsi="Arial;sans-serif"/>
                  <w:b w:val="false"/>
                  <w:i w:val="false"/>
                  <w:caps w:val="false"/>
                  <w:smallCaps w:val="false"/>
                  <w:strike w:val="false"/>
                  <w:dstrike w:val="false"/>
                  <w:color w:val="0B436E"/>
                  <w:sz w:val="20"/>
                  <w:u w:val="single"/>
                  <w:effect w:val="none"/>
                </w:rPr>
                <w:t>19</w:t>
              </w:r>
            </w:hyperlink>
          </w:p>
        </w:tc>
      </w:tr>
      <w:tr>
        <w:trPr/>
        <w:tc>
          <w:tcPr>
            <w:tcW w:w="8446" w:type="dxa"/>
            <w:tcBorders/>
            <w:vAlign w:val="center"/>
          </w:tcPr>
          <w:p>
            <w:pPr>
              <w:pStyle w:val="TableContents"/>
              <w:bidi w:val="0"/>
              <w:spacing w:lineRule="atLeast" w:line="200" w:before="0" w:after="0"/>
              <w:jc w:val="left"/>
              <w:rPr/>
            </w:pPr>
            <w:hyperlink w:anchor="iebb9ad6d2d2c4e6e93bd8f82ae8a59ea">
              <w:r>
                <w:rPr>
                  <w:rStyle w:val="InternetLink"/>
                  <w:rFonts w:ascii="Arial;sans-serif" w:hAnsi="Arial;sans-serif"/>
                  <w:b w:val="false"/>
                  <w:i w:val="false"/>
                  <w:caps w:val="false"/>
                  <w:smallCaps w:val="false"/>
                  <w:strike w:val="false"/>
                  <w:dstrike w:val="false"/>
                  <w:color w:val="000080"/>
                  <w:sz w:val="20"/>
                  <w:u w:val="single"/>
                  <w:effect w:val="none"/>
                </w:rPr>
                <w:t>16</w:t>
              </w:r>
            </w:hyperlink>
            <w:hyperlink w:anchor="iebb9ad6d2d2c4e6e93bd8f82ae8a59ea">
              <w:r>
                <w:rPr>
                  <w:rStyle w:val="InternetLink"/>
                  <w:rFonts w:ascii="Arial;sans-serif" w:hAnsi="Arial;sans-serif"/>
                  <w:b w:val="false"/>
                  <w:i w:val="false"/>
                  <w:caps w:val="false"/>
                  <w:smallCaps w:val="false"/>
                  <w:strike w:val="false"/>
                  <w:dstrike w:val="false"/>
                  <w:color w:val="000080"/>
                  <w:sz w:val="20"/>
                  <w:u w:val="single"/>
                  <w:effect w:val="none"/>
                </w:rPr>
                <w:t>Commitments</w:t>
              </w:r>
            </w:hyperlink>
          </w:p>
        </w:tc>
        <w:tc>
          <w:tcPr>
            <w:tcW w:w="481" w:type="dxa"/>
            <w:tcBorders/>
            <w:vAlign w:val="center"/>
          </w:tcPr>
          <w:p>
            <w:pPr>
              <w:pStyle w:val="TableContents"/>
              <w:bidi w:val="0"/>
              <w:spacing w:lineRule="atLeast" w:line="200" w:before="0" w:after="0"/>
              <w:jc w:val="left"/>
              <w:rPr/>
            </w:pPr>
            <w:hyperlink w:anchor="iebb9ad6d2d2c4e6e93bd8f82ae8a59ea">
              <w:r>
                <w:rPr>
                  <w:rStyle w:val="InternetLink"/>
                  <w:rFonts w:ascii="Arial;sans-serif" w:hAnsi="Arial;sans-serif"/>
                  <w:b w:val="false"/>
                  <w:i w:val="false"/>
                  <w:caps w:val="false"/>
                  <w:smallCaps w:val="false"/>
                  <w:strike w:val="false"/>
                  <w:dstrike w:val="false"/>
                  <w:color w:val="0B436E"/>
                  <w:sz w:val="20"/>
                  <w:u w:val="single"/>
                  <w:effect w:val="none"/>
                </w:rPr>
                <w:t>19</w:t>
              </w:r>
            </w:hyperlink>
          </w:p>
        </w:tc>
      </w:tr>
      <w:tr>
        <w:trPr/>
        <w:tc>
          <w:tcPr>
            <w:tcW w:w="8446" w:type="dxa"/>
            <w:tcBorders/>
            <w:vAlign w:val="center"/>
          </w:tcPr>
          <w:p>
            <w:pPr>
              <w:pStyle w:val="TableContents"/>
              <w:bidi w:val="0"/>
              <w:spacing w:lineRule="atLeast" w:line="200" w:before="0" w:after="0"/>
              <w:jc w:val="left"/>
              <w:rPr/>
            </w:pPr>
            <w:hyperlink w:anchor="i80dbaca9aefc4315bc3e1120d3de7369">
              <w:r>
                <w:rPr>
                  <w:rStyle w:val="InternetLink"/>
                  <w:rFonts w:ascii="Arial;sans-serif" w:hAnsi="Arial;sans-serif"/>
                  <w:b w:val="false"/>
                  <w:i w:val="false"/>
                  <w:caps w:val="false"/>
                  <w:smallCaps w:val="false"/>
                  <w:strike w:val="false"/>
                  <w:dstrike w:val="false"/>
                  <w:color w:val="000080"/>
                  <w:sz w:val="20"/>
                  <w:u w:val="single"/>
                  <w:effect w:val="none"/>
                </w:rPr>
                <w:t>17</w:t>
              </w:r>
            </w:hyperlink>
            <w:hyperlink w:anchor="i80dbaca9aefc4315bc3e1120d3de7369">
              <w:r>
                <w:rPr>
                  <w:rStyle w:val="InternetLink"/>
                  <w:rFonts w:ascii="Arial;sans-serif" w:hAnsi="Arial;sans-serif"/>
                  <w:b w:val="false"/>
                  <w:i w:val="false"/>
                  <w:caps w:val="false"/>
                  <w:smallCaps w:val="false"/>
                  <w:strike w:val="false"/>
                  <w:dstrike w:val="false"/>
                  <w:color w:val="000080"/>
                  <w:sz w:val="20"/>
                  <w:u w:val="single"/>
                  <w:effect w:val="none"/>
                </w:rPr>
                <w:t>Events after the balance sheet date</w:t>
              </w:r>
            </w:hyperlink>
          </w:p>
        </w:tc>
        <w:tc>
          <w:tcPr>
            <w:tcW w:w="481" w:type="dxa"/>
            <w:tcBorders/>
            <w:vAlign w:val="center"/>
          </w:tcPr>
          <w:p>
            <w:pPr>
              <w:pStyle w:val="TableContents"/>
              <w:bidi w:val="0"/>
              <w:spacing w:lineRule="atLeast" w:line="200" w:before="0" w:after="0"/>
              <w:jc w:val="left"/>
              <w:rPr/>
            </w:pPr>
            <w:hyperlink w:anchor="i80dbaca9aefc4315bc3e1120d3de7369">
              <w:r>
                <w:rPr>
                  <w:rStyle w:val="InternetLink"/>
                  <w:rFonts w:ascii="Arial;sans-serif" w:hAnsi="Arial;sans-serif"/>
                  <w:b w:val="false"/>
                  <w:i w:val="false"/>
                  <w:caps w:val="false"/>
                  <w:smallCaps w:val="false"/>
                  <w:strike w:val="false"/>
                  <w:dstrike w:val="false"/>
                  <w:color w:val="0B436E"/>
                  <w:sz w:val="20"/>
                  <w:u w:val="single"/>
                  <w:effect w:val="none"/>
                </w:rPr>
                <w:t>20</w:t>
              </w:r>
            </w:hyperlink>
          </w:p>
        </w:tc>
      </w:tr>
    </w:tbl>
    <w:tbl>
      <w:tblPr>
        <w:tblW w:w="4068" w:type="dxa"/>
        <w:jc w:val="left"/>
        <w:tblInd w:w="0" w:type="dxa"/>
        <w:tblLayout w:type="fixed"/>
        <w:tblCellMar>
          <w:top w:w="28" w:type="dxa"/>
          <w:left w:w="28" w:type="dxa"/>
          <w:bottom w:w="28" w:type="dxa"/>
          <w:right w:w="28" w:type="dxa"/>
        </w:tblCellMar>
      </w:tblPr>
      <w:tblGrid>
        <w:gridCol w:w="2551"/>
        <w:gridCol w:w="1291"/>
        <w:gridCol w:w="226"/>
      </w:tblGrid>
      <w:tr>
        <w:trPr/>
        <w:tc>
          <w:tcPr>
            <w:tcW w:w="255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1291" w:type="dxa"/>
            <w:tcBorders>
              <w:right w:val="single" w:sz="8" w:space="0" w:color="0B436E"/>
            </w:tcBorders>
            <w:tcMar>
              <w:top w:w="0" w:type="dxa"/>
              <w:left w:w="0" w:type="dxa"/>
              <w:bottom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Management report</w:t>
            </w:r>
          </w:p>
        </w:tc>
        <w:tc>
          <w:tcPr>
            <w:tcW w:w="226" w:type="dxa"/>
            <w:tcBorders>
              <w:left w:val="single" w:sz="8" w:space="0" w:color="0B436E"/>
            </w:tcBorders>
            <w:tcMar>
              <w:top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2</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5A5A5A"/>
                  <w:sz w:val="14"/>
                  <w:u w:val="singl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single"/>
                  <w:effect w:val="none"/>
                </w:rPr>
                <w:t>Financial Statements</w:t>
              </w:r>
            </w:hyperlink>
          </w:p>
        </w:tc>
        <w:tc>
          <w:tcPr>
            <w:tcW w:w="466" w:type="dxa"/>
            <w:tcBorders/>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B6B6B6"/>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560" w:before="0" w:after="0"/>
        <w:jc w:val="left"/>
        <w:rPr>
          <w:rFonts w:ascii="Arial;sans-serif" w:hAnsi="Arial;sans-serif"/>
          <w:b w:val="false"/>
          <w:i w:val="false"/>
          <w:caps w:val="false"/>
          <w:smallCaps w:val="false"/>
          <w:strike w:val="false"/>
          <w:dstrike w:val="false"/>
          <w:color w:val="91C353"/>
          <w:sz w:val="56"/>
          <w:u w:val="none"/>
          <w:effect w:val="none"/>
        </w:rPr>
      </w:pPr>
      <w:r>
        <w:rPr>
          <w:rFonts w:ascii="Arial;sans-serif" w:hAnsi="Arial;sans-serif"/>
          <w:b w:val="false"/>
          <w:i w:val="false"/>
          <w:caps w:val="false"/>
          <w:smallCaps w:val="false"/>
          <w:strike w:val="false"/>
          <w:dstrike w:val="false"/>
          <w:color w:val="91C353"/>
          <w:sz w:val="56"/>
          <w:u w:val="none"/>
          <w:effect w:val="none"/>
        </w:rPr>
        <w:t>Management Report</w:t>
      </w:r>
      <w:bookmarkStart w:id="6" w:name="i2c893fd98b624f05b6634c0d0930eb2b"/>
      <w:bookmarkEnd w:id="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1</w:t>
      </w:r>
      <w:bookmarkStart w:id="7" w:name="i3c0e3d7758e8402da9f632865a17859b"/>
      <w:bookmarkEnd w:id="7"/>
      <w:r>
        <w:rPr>
          <w:rFonts w:ascii="Arial;sans-serif" w:hAnsi="Arial;sans-serif"/>
          <w:b w:val="false"/>
          <w:i w:val="false"/>
          <w:caps w:val="false"/>
          <w:smallCaps w:val="false"/>
          <w:strike w:val="false"/>
          <w:dstrike w:val="false"/>
          <w:color w:val="91C353"/>
          <w:sz w:val="40"/>
          <w:u w:val="none"/>
          <w:effect w:val="none"/>
        </w:rPr>
        <w:t>Main events in the first six months of 2026</w:t>
      </w:r>
    </w:p>
    <w:p>
      <w:pPr>
        <w:pStyle w:val="TextBody"/>
        <w:bidi w:val="0"/>
        <w:spacing w:lineRule="atLeast" w:line="300" w:before="0" w:after="0"/>
        <w:jc w:val="left"/>
        <w:rPr>
          <w:sz w:val="30"/>
        </w:rPr>
      </w:pPr>
      <w:r>
        <w:rPr>
          <w:rFonts w:ascii="Arial;sans-serif" w:hAnsi="Arial;sans-serif"/>
          <w:b w:val="false"/>
          <w:i w:val="false"/>
          <w:caps w:val="false"/>
          <w:smallCaps w:val="false"/>
          <w:strike w:val="false"/>
          <w:dstrike w:val="false"/>
          <w:color w:val="91C353"/>
          <w:sz w:val="30"/>
          <w:u w:val="none"/>
          <w:effect w:val="none"/>
        </w:rPr>
        <w:t>FIRST</w:t>
      </w:r>
      <w:bookmarkStart w:id="8" w:name="i0a55e29341254864a955cc0ddbb33b46"/>
      <w:bookmarkEnd w:id="8"/>
      <w:r>
        <w:rPr>
          <w:caps w:val="false"/>
          <w:smallCaps w:val="false"/>
          <w:strike w:val="false"/>
          <w:dstrike w:val="false"/>
          <w:color w:val="91C353"/>
          <w:sz w:val="30"/>
          <w:u w:val="none"/>
          <w:effect w:val="none"/>
        </w:rPr>
        <w:t xml:space="preserve"> </w:t>
      </w:r>
      <w:r>
        <w:rPr>
          <w:rFonts w:ascii="Arial;sans-serif" w:hAnsi="Arial;sans-serif"/>
          <w:b w:val="false"/>
          <w:i w:val="false"/>
          <w:caps w:val="false"/>
          <w:smallCaps w:val="false"/>
          <w:strike w:val="false"/>
          <w:dstrike w:val="false"/>
          <w:color w:val="91C353"/>
          <w:sz w:val="30"/>
          <w:u w:val="none"/>
          <w:effect w:val="none"/>
        </w:rPr>
        <w:t>QUARTER OF 2026</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Refer</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to our Q1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press release.</w:t>
      </w:r>
    </w:p>
    <w:p>
      <w:pPr>
        <w:pStyle w:val="TextBody"/>
        <w:bidi w:val="0"/>
        <w:spacing w:lineRule="atLeast" w:line="300" w:before="0" w:after="0"/>
        <w:jc w:val="left"/>
        <w:rPr>
          <w:sz w:val="30"/>
        </w:rPr>
      </w:pPr>
      <w:r>
        <w:rPr>
          <w:rFonts w:ascii="Arial;sans-serif" w:hAnsi="Arial;sans-serif"/>
          <w:b w:val="false"/>
          <w:i w:val="false"/>
          <w:caps w:val="false"/>
          <w:smallCaps w:val="false"/>
          <w:strike w:val="false"/>
          <w:dstrike w:val="false"/>
          <w:color w:val="91C353"/>
          <w:sz w:val="30"/>
          <w:u w:val="none"/>
          <w:effect w:val="none"/>
        </w:rPr>
        <w:t xml:space="preserve">SECOND </w:t>
      </w:r>
      <w:bookmarkStart w:id="9" w:name="i05c49e9fdbd04a47bc4f63730cd8db29"/>
      <w:bookmarkEnd w:id="9"/>
      <w:r>
        <w:rPr>
          <w:rFonts w:ascii="Arial;sans-serif" w:hAnsi="Arial;sans-serif"/>
          <w:b w:val="false"/>
          <w:i w:val="false"/>
          <w:caps w:val="false"/>
          <w:smallCaps w:val="false"/>
          <w:strike w:val="false"/>
          <w:dstrike w:val="false"/>
          <w:color w:val="91C353"/>
          <w:sz w:val="30"/>
          <w:u w:val="none"/>
          <w:effect w:val="none"/>
        </w:rPr>
        <w:t>QUARTER OF 2026</w:t>
      </w:r>
      <w:r>
        <w:rPr>
          <w:caps w:val="false"/>
          <w:smallCaps w:val="false"/>
          <w:strike w:val="false"/>
          <w:dstrike w:val="false"/>
          <w:color w:val="91C353"/>
          <w:sz w:val="30"/>
          <w:u w:val="none"/>
          <w:effect w:val="none"/>
        </w:rPr>
        <w:t xml:space="preserve"> </w:t>
      </w:r>
      <w:r>
        <w:rPr>
          <w:rFonts w:ascii="Arial;sans-serif" w:hAnsi="Arial;sans-serif"/>
          <w:b w:val="false"/>
          <w:i w:val="false"/>
          <w:caps w:val="false"/>
          <w:smallCaps w:val="false"/>
          <w:strike w:val="false"/>
          <w:dstrike w:val="false"/>
          <w:color w:val="91C353"/>
          <w:sz w:val="30"/>
          <w:u w:val="none"/>
          <w:effect w:val="none"/>
        </w:rPr>
        <w:t>AND RECENT BUSINESS</w:t>
      </w:r>
      <w:r>
        <w:rPr>
          <w:caps w:val="false"/>
          <w:smallCaps w:val="false"/>
          <w:strike w:val="false"/>
          <w:dstrike w:val="false"/>
          <w:color w:val="91C353"/>
          <w:sz w:val="30"/>
          <w:u w:val="none"/>
          <w:effect w:val="none"/>
        </w:rPr>
        <w:t xml:space="preserve"> </w:t>
      </w:r>
      <w:r>
        <w:rPr>
          <w:rFonts w:ascii="Arial;sans-serif" w:hAnsi="Arial;sans-serif"/>
          <w:b w:val="false"/>
          <w:i w:val="false"/>
          <w:caps w:val="false"/>
          <w:smallCaps w:val="false"/>
          <w:strike w:val="false"/>
          <w:dstrike w:val="false"/>
          <w:color w:val="91C353"/>
          <w:sz w:val="30"/>
          <w:u w:val="none"/>
          <w:effect w:val="none"/>
        </w:rPr>
        <w:t>UPDATE</w:t>
      </w:r>
    </w:p>
    <w:p>
      <w:pPr>
        <w:pStyle w:val="TextBody"/>
        <w:bidi w:val="0"/>
        <w:spacing w:lineRule="atLeast" w:line="18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r>
        <w:rPr>
          <w:rFonts w:ascii="Arial;sans-serif" w:hAnsi="Arial;sans-serif"/>
          <w:b w:val="false"/>
          <w:i w:val="false"/>
          <w:caps w:val="false"/>
          <w:smallCaps w:val="false"/>
          <w:strike w:val="false"/>
          <w:dstrike w:val="false"/>
          <w:color w:val="5A5A5A"/>
          <w:sz w:val="18"/>
          <w:u w:val="none"/>
          <w:effect w:val="none"/>
        </w:rPr>
        <w:t xml:space="preserve">Our strong second quarter performance reflects continued execution of our Vision 2030 strategy and our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commitment to accelerate immunology innovation,” said Karen Massey, Chief Executive Officer. “During the quarter,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we further strengthened our leadership in FcRn with the launch of the expanded label for VYVGART and VYVGART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Hytrulo to now include all gMG serotypes, providing physicians with a single treatment option for the broadest adult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gMG patient population. With important registrational study readouts in the second half, as well as continued progress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with our early-stage pipeline, we are advancing the next wave of innovation, reinforcing our ambition to build a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leading multi-asset immunology company.”</w:t>
      </w:r>
    </w:p>
    <w:p>
      <w:pPr>
        <w:pStyle w:val="TextBody"/>
        <w:bidi w:val="0"/>
        <w:spacing w:lineRule="atLeast" w:line="240" w:before="0" w:after="0"/>
        <w:jc w:val="left"/>
        <w:rPr>
          <w:rFonts w:ascii="Arial;sans-serif" w:hAnsi="Arial;sans-serif"/>
          <w:b w:val="false"/>
          <w:i w:val="false"/>
          <w:caps w:val="false"/>
          <w:smallCaps w:val="false"/>
          <w:strike w:val="false"/>
          <w:dstrike w:val="false"/>
          <w:color w:val="91C353"/>
          <w:sz w:val="24"/>
          <w:u w:val="none"/>
          <w:effect w:val="none"/>
        </w:rPr>
      </w:pPr>
      <w:r>
        <w:rPr>
          <w:rFonts w:ascii="Arial;sans-serif" w:hAnsi="Arial;sans-serif"/>
          <w:b w:val="false"/>
          <w:i w:val="false"/>
          <w:caps w:val="false"/>
          <w:smallCaps w:val="false"/>
          <w:strike w:val="false"/>
          <w:dstrike w:val="false"/>
          <w:color w:val="91C353"/>
          <w:sz w:val="24"/>
          <w:u w:val="none"/>
          <w:effect w:val="none"/>
        </w:rPr>
        <w:t>Vision 2030</w:t>
      </w:r>
      <w:bookmarkStart w:id="10" w:name="i584c6614763b4c9281cc314b74a8da5b"/>
      <w:bookmarkEnd w:id="10"/>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argenx continues to advance its ‘Vision 2030’ anchored in the ambition to treat 50,000 patients globally with its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medicines, secure 10 labeled indications, and progress five pipeline candidates into registrational development by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2030.</w:t>
      </w:r>
    </w:p>
    <w:p>
      <w:pPr>
        <w:pStyle w:val="TextBody"/>
        <w:bidi w:val="0"/>
        <w:spacing w:lineRule="atLeast" w:line="240" w:before="0" w:after="0"/>
        <w:jc w:val="both"/>
        <w:rPr>
          <w:rFonts w:ascii="Arial;sans-serif" w:hAnsi="Arial;sans-serif"/>
          <w:b w:val="false"/>
          <w:i w:val="false"/>
          <w:caps w:val="false"/>
          <w:smallCaps w:val="false"/>
          <w:strike w:val="false"/>
          <w:dstrike w:val="false"/>
          <w:color w:val="91C353"/>
          <w:sz w:val="24"/>
          <w:u w:val="none"/>
          <w:effect w:val="none"/>
        </w:rPr>
      </w:pPr>
      <w:r>
        <w:rPr>
          <w:rFonts w:ascii="Arial;sans-serif" w:hAnsi="Arial;sans-serif"/>
          <w:b w:val="false"/>
          <w:i w:val="false"/>
          <w:caps w:val="false"/>
          <w:smallCaps w:val="false"/>
          <w:strike w:val="false"/>
          <w:dstrike w:val="false"/>
          <w:color w:val="91C353"/>
          <w:sz w:val="24"/>
          <w:u w:val="none"/>
          <w:effect w:val="none"/>
        </w:rPr>
        <w:t>Expanding global VYVGART opportunity and shaping the long-term future of FcRn</w:t>
      </w:r>
      <w:bookmarkStart w:id="11" w:name="ibbc0499782f940a48a9985c86546303b"/>
      <w:bookmarkEnd w:id="11"/>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VYVGART® (IV: efgartigimod alfa-fcab; SC: efgartigimod alfa and hyaluronidase-qvfc) is the first-and-only approved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treatment for all serotypes of adult patients living with generalized myasthenia gravis (gMG). It is also approved for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chronic inflammatory demyelinating polyneuropathy (CIDP) globally, and primary immune thrombocytopenia (ITP) in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Japan. As the leading targeted biologic in MG and CIDP, argenx is progressing multiple label expansions while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building the future of FcRn by advancing novel FcRn pipeline candidates and new delivery modalities.</w:t>
      </w:r>
    </w:p>
    <w:p>
      <w:pPr>
        <w:pStyle w:val="TextBody"/>
        <w:bidi w:val="0"/>
        <w:spacing w:lineRule="atLeast" w:line="24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Generated</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$2.8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in global product net sales,</w:t>
      </w:r>
      <w:r>
        <w:rPr>
          <w:caps w:val="false"/>
          <w:smallCaps w:val="false"/>
          <w:strike w:val="false"/>
          <w:dstrike w:val="false"/>
          <w:color w:val="FF0090"/>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representing a year-over-year increase of $1.1 billion</w:t>
      </w:r>
      <w:r>
        <w:rPr>
          <w:caps w:val="false"/>
          <w:smallCaps w:val="false"/>
          <w:strike w:val="false"/>
          <w:dstrike w:val="false"/>
          <w:color w:val="5A5A5A"/>
          <w:sz w:val="24"/>
          <w:u w:val="none"/>
          <w:effect w:val="none"/>
        </w:rPr>
        <w:t xml:space="preserve"> </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Launched expanded label for VYVGART and VYVGART Hytrulo</w:t>
      </w:r>
      <w:r>
        <w:rPr>
          <w:rFonts w:ascii="Arial;sans-serif" w:hAnsi="Arial;sans-serif"/>
          <w:b w:val="false"/>
          <w:i w:val="false"/>
          <w:caps w:val="false"/>
          <w:smallCaps w:val="false"/>
          <w:strike w:val="false"/>
          <w:dstrike w:val="false"/>
          <w:color w:val="5A5A5A"/>
          <w:sz w:val="12"/>
          <w:u w:val="none"/>
          <w:effect w:val="none"/>
        </w:rPr>
        <w:t>®</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in the U.S., which now includes all gMG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serotypes (anti-AChR-Ab positive, anti-MuSK-Ab positive, anti-LRP4-Ab positive, and triple seronegative) </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 xml:space="preserve">On track with plans to expand VYVGART into ocular myasthenia gravis (oMG) following positive ADAPT OCULUS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results</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Topline results from registrational ALKIVIA study (myositis) expected in third quarter of 2026</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Topline results from registrational ADVANCE-NEXT study (primary ITP) expected in first half of 2027</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Topline results from registrational UNITY study (Sjogren’s disease) expected in second half of 2027</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Registrational study in Graves’ disease (GD) ongoing, expanding development into thyroid-driven autoimmunity</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VYVGART SC autoinjector positioned to launch in 2027 for all approved indications</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 xml:space="preserve">Progressing two future FcRn molecules: ARGX-213, designed for monthly dosing, is Phase 3 ready, and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ARGX-124 is expected to complete Phase 1 evaluation by end of 2026</w:t>
      </w:r>
    </w:p>
    <w:tbl>
      <w:tblPr>
        <w:tblW w:w="4068" w:type="dxa"/>
        <w:jc w:val="left"/>
        <w:tblInd w:w="0" w:type="dxa"/>
        <w:tblLayout w:type="fixed"/>
        <w:tblCellMar>
          <w:top w:w="28" w:type="dxa"/>
          <w:left w:w="28" w:type="dxa"/>
          <w:bottom w:w="28" w:type="dxa"/>
          <w:right w:w="28" w:type="dxa"/>
        </w:tblCellMar>
      </w:tblPr>
      <w:tblGrid>
        <w:gridCol w:w="2551"/>
        <w:gridCol w:w="1291"/>
        <w:gridCol w:w="226"/>
      </w:tblGrid>
      <w:tr>
        <w:trPr/>
        <w:tc>
          <w:tcPr>
            <w:tcW w:w="255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1291" w:type="dxa"/>
            <w:tcBorders>
              <w:right w:val="single" w:sz="8" w:space="0" w:color="0B436E"/>
            </w:tcBorders>
            <w:tcMar>
              <w:top w:w="0" w:type="dxa"/>
              <w:left w:w="0" w:type="dxa"/>
              <w:bottom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Management report</w:t>
            </w:r>
          </w:p>
        </w:tc>
        <w:tc>
          <w:tcPr>
            <w:tcW w:w="226" w:type="dxa"/>
            <w:tcBorders>
              <w:left w:val="single" w:sz="8" w:space="0" w:color="0B436E"/>
            </w:tcBorders>
            <w:tcMar>
              <w:top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3</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none"/>
                  <w:effect w:val="none"/>
                </w:rPr>
                <w:t>Table of Contents</w:t>
              </w:r>
            </w:hyperlink>
          </w:p>
        </w:tc>
        <w:tc>
          <w:tcPr>
            <w:tcW w:w="13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5A5A5A"/>
                  <w:sz w:val="14"/>
                  <w:u w:val="non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none"/>
                  <w:effect w:val="none"/>
                </w:rPr>
                <w:t>Financial Statements</w:t>
              </w:r>
            </w:hyperlink>
          </w:p>
        </w:tc>
        <w:tc>
          <w:tcPr>
            <w:tcW w:w="466" w:type="dxa"/>
            <w:tcBorders/>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B6B6B6"/>
                  <w:sz w:val="14"/>
                  <w:u w:val="non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0"/>
        <w:jc w:val="left"/>
        <w:rPr>
          <w:rFonts w:ascii="Arial;sans-serif" w:hAnsi="Arial;sans-serif"/>
          <w:b w:val="false"/>
          <w:i w:val="false"/>
          <w:caps w:val="false"/>
          <w:smallCaps w:val="false"/>
          <w:strike w:val="false"/>
          <w:dstrike w:val="false"/>
          <w:color w:val="91C353"/>
          <w:sz w:val="24"/>
          <w:u w:val="none"/>
          <w:effect w:val="none"/>
        </w:rPr>
      </w:pPr>
      <w:r>
        <w:rPr>
          <w:rFonts w:ascii="Arial;sans-serif" w:hAnsi="Arial;sans-serif"/>
          <w:b w:val="false"/>
          <w:i w:val="false"/>
          <w:caps w:val="false"/>
          <w:smallCaps w:val="false"/>
          <w:strike w:val="false"/>
          <w:dstrike w:val="false"/>
          <w:color w:val="91C353"/>
          <w:sz w:val="24"/>
          <w:u w:val="none"/>
          <w:effect w:val="none"/>
        </w:rPr>
        <w:t>Advancing empasiprubart, argenx’s second pipeline-in-a-product opportunity</w:t>
      </w:r>
      <w:bookmarkStart w:id="12" w:name="i12fcf002d0154f11bdbd203f0fe172d1"/>
      <w:bookmarkEnd w:id="12"/>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Empasiprubart (anti-C2) is argenx’s second pipeline-in-a-product opportunity and is being evaluated in registrational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studies in multifocal motor neuropathy (MMN) and CIDP, and in a combination study with VYVGART in gMG.</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Topline results from registrational EMPASSION study (MMN) expected in fourth quarter of 2026</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 xml:space="preserve">Topline results from registrational EMVIGORATE and EMNERGIZE studies (CIDP) expected in second half of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2027</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 xml:space="preserve">Data from Phase 2 VARVARA study (delayed graft function, DGF) support further evaluation of empasiprubart in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transplant setting based on signal at 52 weeks  </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 xml:space="preserve">Advancing ADAPT-Forward combination study, evaluating empasiprubart as a potential add-on therapy to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efgartigimod in gMG</w:t>
      </w:r>
    </w:p>
    <w:p>
      <w:pPr>
        <w:pStyle w:val="TextBody"/>
        <w:bidi w:val="0"/>
        <w:spacing w:lineRule="atLeast" w:line="240" w:before="0" w:after="0"/>
        <w:jc w:val="left"/>
        <w:rPr>
          <w:rFonts w:ascii="Arial;sans-serif" w:hAnsi="Arial;sans-serif"/>
          <w:b w:val="false"/>
          <w:i w:val="false"/>
          <w:caps w:val="false"/>
          <w:smallCaps w:val="false"/>
          <w:strike w:val="false"/>
          <w:dstrike w:val="false"/>
          <w:color w:val="91C353"/>
          <w:sz w:val="24"/>
          <w:u w:val="none"/>
          <w:effect w:val="none"/>
        </w:rPr>
      </w:pPr>
      <w:r>
        <w:rPr>
          <w:rFonts w:ascii="Arial;sans-serif" w:hAnsi="Arial;sans-serif"/>
          <w:b w:val="false"/>
          <w:i w:val="false"/>
          <w:caps w:val="false"/>
          <w:smallCaps w:val="false"/>
          <w:strike w:val="false"/>
          <w:dstrike w:val="false"/>
          <w:color w:val="91C353"/>
          <w:sz w:val="24"/>
          <w:u w:val="none"/>
          <w:effect w:val="none"/>
        </w:rPr>
        <w:t>Delivering next wave of immunology innovation</w:t>
      </w:r>
      <w:bookmarkStart w:id="13" w:name="i79e1043dcdf541dc997f72e5da156187"/>
      <w:bookmarkEnd w:id="13"/>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By the end of 2026, argenx expects to have ten molecules in clinical development across its immunology pipeline,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including adimanebart (MuSK agonist), ARGX-121 (anti-IgA), ARGX-109 (anti-IL-6) and additional candidates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emerging from the Immunology Innovation Program. Together, these programs support argenx's goal of building a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durable pipeline of differentiated medicines.</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 xml:space="preserve">Phase 2 study of adimanebart in spinal muscular atrophy (SMA) ongoing; registrational study in congenital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myasthenic syndromes (CMS) expected to begin in 2026</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Phase 2 study of ARGX-121 in IgA nephropathy (IgAN) expected to start in 2026</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First-in-human Phase 1 study of TSP-101 (Fn14 inhibitor) is ongoing</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 xml:space="preserve">ARGX-118 (Galectin-10 inhibitor) and ARGX-125 (first-in-class bispecific antibody against an undisclosed target)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are on track to enter Phase 1 studies in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2</w:t>
      </w:r>
      <w:bookmarkStart w:id="14" w:name="i3a6f2ecca5a341af861f305f733a2581"/>
      <w:bookmarkEnd w:id="14"/>
      <w:r>
        <w:rPr>
          <w:rFonts w:ascii="Arial;sans-serif" w:hAnsi="Arial;sans-serif"/>
          <w:b w:val="false"/>
          <w:i w:val="false"/>
          <w:caps w:val="false"/>
          <w:smallCaps w:val="false"/>
          <w:strike w:val="false"/>
          <w:dstrike w:val="false"/>
          <w:color w:val="91C353"/>
          <w:sz w:val="40"/>
          <w:u w:val="none"/>
          <w:effect w:val="none"/>
        </w:rPr>
        <w:t xml:space="preserve">Financial highlights </w:t>
      </w:r>
    </w:p>
    <w:p>
      <w:pPr>
        <w:pStyle w:val="TextBody"/>
        <w:bidi w:val="0"/>
        <w:spacing w:lineRule="atLeast" w:line="180" w:before="0" w:after="0"/>
        <w:jc w:val="left"/>
        <w:rPr>
          <w:sz w:val="24"/>
        </w:rPr>
      </w:pPr>
      <w:r>
        <w:rPr>
          <w:rFonts w:ascii="Arial;sans-serif" w:hAnsi="Arial;sans-serif"/>
          <w:b/>
          <w:i w:val="false"/>
          <w:caps w:val="false"/>
          <w:smallCaps w:val="false"/>
          <w:strike w:val="false"/>
          <w:dstrike w:val="false"/>
          <w:color w:val="5A5A5A"/>
          <w:sz w:val="18"/>
          <w:u w:val="none"/>
          <w:effect w:val="none"/>
        </w:rPr>
        <w:t>Total operating income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June 30, 2026, was $2.9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compared to $1.8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for the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same period in 2025, and mainly consists of:</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i w:val="false"/>
          <w:caps w:val="false"/>
          <w:smallCaps w:val="false"/>
          <w:strike w:val="false"/>
          <w:dstrike w:val="false"/>
          <w:color w:val="5A5A5A"/>
          <w:sz w:val="18"/>
          <w:u w:val="none"/>
          <w:effect w:val="none"/>
        </w:rPr>
        <w:t>Product net sales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of VYVGART 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 were $2.8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compared to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$1.7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same period in 2025.</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i w:val="false"/>
          <w:caps w:val="false"/>
          <w:smallCaps w:val="false"/>
          <w:strike w:val="false"/>
          <w:dstrike w:val="false"/>
          <w:color w:val="5A5A5A"/>
          <w:sz w:val="18"/>
          <w:u w:val="none"/>
          <w:effect w:val="none"/>
        </w:rPr>
        <w:t>Other operating income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 was $41</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 compared to $36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million for the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same period in 2025. The other operating income 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and 2025, primarily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relates to research and development tax incentives and payroll tax rebates.</w:t>
      </w:r>
    </w:p>
    <w:p>
      <w:pPr>
        <w:pStyle w:val="TextBody"/>
        <w:bidi w:val="0"/>
        <w:spacing w:lineRule="atLeast" w:line="180" w:before="0" w:after="0"/>
        <w:jc w:val="left"/>
        <w:rPr>
          <w:sz w:val="24"/>
        </w:rPr>
      </w:pPr>
      <w:r>
        <w:rPr>
          <w:rFonts w:ascii="Arial;sans-serif" w:hAnsi="Arial;sans-serif"/>
          <w:b/>
          <w:i w:val="false"/>
          <w:caps w:val="false"/>
          <w:smallCaps w:val="false"/>
          <w:strike w:val="false"/>
          <w:dstrike w:val="false"/>
          <w:color w:val="5A5A5A"/>
          <w:sz w:val="18"/>
          <w:u w:val="none"/>
          <w:effect w:val="none"/>
        </w:rPr>
        <w:t>Total operating expenses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were $2.0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compared to $1.4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for the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same period in 2025, and mainly consist of: </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i w:val="false"/>
          <w:caps w:val="false"/>
          <w:smallCaps w:val="false"/>
          <w:strike w:val="false"/>
          <w:dstrike w:val="false"/>
          <w:color w:val="5A5A5A"/>
          <w:sz w:val="18"/>
          <w:u w:val="none"/>
          <w:effect w:val="none"/>
        </w:rPr>
        <w:t>Cost of sales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 was $266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 compared to $192</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million for the same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period in 2025. The cost of sales was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related to the sale of</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VYVGART. </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i w:val="false"/>
          <w:caps w:val="false"/>
          <w:smallCaps w:val="false"/>
          <w:strike w:val="false"/>
          <w:dstrike w:val="false"/>
          <w:color w:val="5A5A5A"/>
          <w:sz w:val="18"/>
          <w:u w:val="none"/>
          <w:effect w:val="none"/>
        </w:rPr>
        <w:t>Research and development expenses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 were $0.9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compared to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$0.6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for the same period in 2025. The research and development expenses mainly relate to advancing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efgartigimod, empasiprubart, and adimanebart across multiple registrational studies, plus early-stage pipeline and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preclinical programs.</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i w:val="false"/>
          <w:caps w:val="false"/>
          <w:smallCaps w:val="false"/>
          <w:strike w:val="false"/>
          <w:dstrike w:val="false"/>
          <w:color w:val="5A5A5A"/>
          <w:sz w:val="18"/>
          <w:u w:val="none"/>
          <w:effect w:val="none"/>
        </w:rPr>
        <w:t>Selling, general and administrative expenses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 were $0.8 billion</w:t>
      </w:r>
      <w:r>
        <w:rPr>
          <w:caps w:val="false"/>
          <w:smallCaps w:val="false"/>
          <w:strike w:val="false"/>
          <w:dstrike w:val="false"/>
          <w:color w:val="5A5A5A"/>
          <w:sz w:val="24"/>
          <w:u w:val="none"/>
          <w:effect w:val="none"/>
        </w:rPr>
        <w:t xml:space="preserv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compared to $0.6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for the same period in 2025. The selling, general and administrative expenses mainly </w:t>
      </w:r>
    </w:p>
    <w:tbl>
      <w:tblPr>
        <w:tblW w:w="4068" w:type="dxa"/>
        <w:jc w:val="left"/>
        <w:tblInd w:w="0" w:type="dxa"/>
        <w:tblLayout w:type="fixed"/>
        <w:tblCellMar>
          <w:top w:w="28" w:type="dxa"/>
          <w:left w:w="28" w:type="dxa"/>
          <w:bottom w:w="28" w:type="dxa"/>
          <w:right w:w="28" w:type="dxa"/>
        </w:tblCellMar>
      </w:tblPr>
      <w:tblGrid>
        <w:gridCol w:w="2551"/>
        <w:gridCol w:w="1291"/>
        <w:gridCol w:w="226"/>
      </w:tblGrid>
      <w:tr>
        <w:trPr/>
        <w:tc>
          <w:tcPr>
            <w:tcW w:w="255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1291" w:type="dxa"/>
            <w:tcBorders>
              <w:right w:val="single" w:sz="8" w:space="0" w:color="0B436E"/>
            </w:tcBorders>
            <w:tcMar>
              <w:top w:w="0" w:type="dxa"/>
              <w:left w:w="0" w:type="dxa"/>
              <w:bottom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Management report</w:t>
            </w:r>
          </w:p>
        </w:tc>
        <w:tc>
          <w:tcPr>
            <w:tcW w:w="226" w:type="dxa"/>
            <w:tcBorders>
              <w:left w:val="single" w:sz="8" w:space="0" w:color="0B436E"/>
            </w:tcBorders>
            <w:tcMar>
              <w:top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4</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none"/>
                  <w:effect w:val="none"/>
                </w:rPr>
                <w:t>Table of Contents</w:t>
              </w:r>
            </w:hyperlink>
          </w:p>
        </w:tc>
        <w:tc>
          <w:tcPr>
            <w:tcW w:w="13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5A5A5A"/>
                  <w:sz w:val="14"/>
                  <w:u w:val="non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none"/>
                  <w:effect w:val="none"/>
                </w:rPr>
                <w:t>Financial Statements</w:t>
              </w:r>
            </w:hyperlink>
          </w:p>
        </w:tc>
        <w:tc>
          <w:tcPr>
            <w:tcW w:w="466" w:type="dxa"/>
            <w:tcBorders/>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B6B6B6"/>
                  <w:sz w:val="14"/>
                  <w:u w:val="non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relate to professional and marketing fees linked to the global commercialization of the VYVGART franchise, and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personnel expenses. </w:t>
      </w:r>
    </w:p>
    <w:p>
      <w:pPr>
        <w:pStyle w:val="TextBody"/>
        <w:bidi w:val="0"/>
        <w:spacing w:lineRule="atLeast" w:line="180" w:before="0" w:after="0"/>
        <w:jc w:val="left"/>
        <w:rPr>
          <w:sz w:val="24"/>
        </w:rPr>
      </w:pPr>
      <w:r>
        <w:rPr>
          <w:rFonts w:ascii="Arial;sans-serif" w:hAnsi="Arial;sans-serif"/>
          <w:b/>
          <w:i w:val="false"/>
          <w:caps w:val="false"/>
          <w:smallCaps w:val="false"/>
          <w:strike w:val="false"/>
          <w:dstrike w:val="false"/>
          <w:color w:val="5A5A5A"/>
          <w:sz w:val="18"/>
          <w:u w:val="none"/>
          <w:effect w:val="none"/>
        </w:rPr>
        <w:t>Financial income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 was $92</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 compared to $76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million for the same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period in 2025. </w:t>
      </w:r>
    </w:p>
    <w:p>
      <w:pPr>
        <w:pStyle w:val="TextBody"/>
        <w:bidi w:val="0"/>
        <w:spacing w:lineRule="atLeast" w:line="180" w:before="0" w:after="0"/>
        <w:jc w:val="left"/>
        <w:rPr>
          <w:sz w:val="24"/>
        </w:rPr>
      </w:pPr>
      <w:r>
        <w:rPr>
          <w:rFonts w:ascii="Arial;sans-serif" w:hAnsi="Arial;sans-serif"/>
          <w:b/>
          <w:i w:val="false"/>
          <w:caps w:val="false"/>
          <w:smallCaps w:val="false"/>
          <w:strike w:val="false"/>
          <w:dstrike w:val="false"/>
          <w:color w:val="5A5A5A"/>
          <w:sz w:val="18"/>
          <w:u w:val="none"/>
          <w:effect w:val="none"/>
        </w:rPr>
        <w:t>Exchange</w:t>
      </w:r>
      <w:r>
        <w:rPr>
          <w:caps w:val="false"/>
          <w:smallCaps w:val="false"/>
          <w:strike w:val="false"/>
          <w:dstrike w:val="false"/>
          <w:color w:val="5A5A5A"/>
          <w:sz w:val="24"/>
          <w:u w:val="none"/>
          <w:effect w:val="none"/>
        </w:rPr>
        <w:t xml:space="preserve"> </w:t>
      </w:r>
      <w:r>
        <w:rPr>
          <w:rFonts w:ascii="Arial;sans-serif" w:hAnsi="Arial;sans-serif"/>
          <w:b/>
          <w:i w:val="false"/>
          <w:caps w:val="false"/>
          <w:smallCaps w:val="false"/>
          <w:strike w:val="false"/>
          <w:dstrike w:val="false"/>
          <w:color w:val="5A5A5A"/>
          <w:sz w:val="18"/>
          <w:u w:val="none"/>
          <w:effect w:val="none"/>
        </w:rPr>
        <w:t>losses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 were $19</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 compared to $76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million of exchange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gains for the same period in 2025. Exchange gains/losses are mainly attributable to unrealized exchange rate gains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or losses on the cash, cash equivalents and current financial assets denominated in Euro.</w:t>
      </w:r>
    </w:p>
    <w:p>
      <w:pPr>
        <w:pStyle w:val="TextBody"/>
        <w:bidi w:val="0"/>
        <w:spacing w:lineRule="atLeast" w:line="180" w:before="0" w:after="0"/>
        <w:jc w:val="left"/>
        <w:rPr>
          <w:sz w:val="24"/>
        </w:rPr>
      </w:pPr>
      <w:r>
        <w:rPr>
          <w:rFonts w:ascii="Arial;sans-serif" w:hAnsi="Arial;sans-serif"/>
          <w:b/>
          <w:i w:val="false"/>
          <w:caps w:val="false"/>
          <w:smallCaps w:val="false"/>
          <w:strike w:val="false"/>
          <w:dstrike w:val="false"/>
          <w:color w:val="5A5A5A"/>
          <w:sz w:val="18"/>
          <w:u w:val="none"/>
          <w:effect w:val="none"/>
        </w:rPr>
        <w:t>Income tax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 consisted of $119</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million of income tax expense compared to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$74</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 for the same period in 2025. Income tax expense 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consists of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$230</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 of current income tax expense and $110</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of deferred tax benefit, compared to $70</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million of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current income tax expense and $4</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 of deferred tax expense for the comparable prior period.</w:t>
      </w:r>
    </w:p>
    <w:p>
      <w:pPr>
        <w:pStyle w:val="TextBody"/>
        <w:bidi w:val="0"/>
        <w:spacing w:lineRule="atLeast" w:line="180" w:before="0" w:after="0"/>
        <w:jc w:val="left"/>
        <w:rPr>
          <w:sz w:val="24"/>
        </w:rPr>
      </w:pPr>
      <w:r>
        <w:rPr>
          <w:rFonts w:ascii="Arial;sans-serif" w:hAnsi="Arial;sans-serif"/>
          <w:b/>
          <w:i w:val="false"/>
          <w:caps w:val="false"/>
          <w:smallCaps w:val="false"/>
          <w:strike w:val="false"/>
          <w:dstrike w:val="false"/>
          <w:color w:val="5A5A5A"/>
          <w:sz w:val="18"/>
          <w:u w:val="none"/>
          <w:effect w:val="none"/>
        </w:rPr>
        <w:t>Profit for the period</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of</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was $0.8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compared to $0.4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for the same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period in 2025. The basic profit per share was $13.47</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compared to $6.80</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and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2025, respectively.</w:t>
      </w:r>
    </w:p>
    <w:p>
      <w:pPr>
        <w:pStyle w:val="TextBody"/>
        <w:bidi w:val="0"/>
        <w:spacing w:lineRule="atLeast" w:line="180" w:before="0" w:after="0"/>
        <w:jc w:val="left"/>
        <w:rPr>
          <w:sz w:val="24"/>
        </w:rPr>
      </w:pPr>
      <w:r>
        <w:rPr>
          <w:rFonts w:ascii="Arial;sans-serif" w:hAnsi="Arial;sans-serif"/>
          <w:b/>
          <w:i w:val="false"/>
          <w:caps w:val="false"/>
          <w:smallCaps w:val="false"/>
          <w:strike w:val="false"/>
          <w:dstrike w:val="false"/>
          <w:color w:val="5A5A5A"/>
          <w:sz w:val="18"/>
          <w:u w:val="none"/>
          <w:effect w:val="none"/>
        </w:rPr>
        <w:t xml:space="preserve">Cash flow from operating activities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was $0.7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million compared to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$0.4 billion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 for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3</w:t>
      </w:r>
      <w:bookmarkStart w:id="15" w:name="i70bb4dcac9a645adb55c91c71d3c5e01"/>
      <w:bookmarkEnd w:id="15"/>
      <w:r>
        <w:rPr>
          <w:rFonts w:ascii="Arial;sans-serif" w:hAnsi="Arial;sans-serif"/>
          <w:b w:val="false"/>
          <w:i w:val="false"/>
          <w:caps w:val="false"/>
          <w:smallCaps w:val="false"/>
          <w:strike w:val="false"/>
          <w:dstrike w:val="false"/>
          <w:color w:val="91C353"/>
          <w:sz w:val="40"/>
          <w:u w:val="none"/>
          <w:effect w:val="none"/>
        </w:rPr>
        <w:t>Risk factors</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We refer to the description of risk factors in the 2025</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annual report, pp. 62-97 as supplemented by the description of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risk factors in our annual report on Form 20-F filed with the U.S. Securities and Exchange Commission, pp. 1-28. In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summary, the principal risks and uncertainties faced by us relate to: commercialization of our products and product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candidates, including new indications, development and clinical testing of our products and product candidates,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dependence on third parties, government regulations, financial position, business and industry, intellectual property,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our organization and operations, ADSs, and being a Foreign Private Issuer or a Dutch Company.</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We also refer to the description of our financial risk management given in the 2025</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annual report, pp. 248-251, which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remains valid.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4</w:t>
      </w:r>
      <w:bookmarkStart w:id="16" w:name="i2f3699d317184dbfa458ce1d707d8a9d"/>
      <w:bookmarkEnd w:id="16"/>
      <w:r>
        <w:rPr>
          <w:rFonts w:ascii="Arial;sans-serif" w:hAnsi="Arial;sans-serif"/>
          <w:b w:val="false"/>
          <w:i w:val="false"/>
          <w:caps w:val="false"/>
          <w:smallCaps w:val="false"/>
          <w:strike w:val="false"/>
          <w:dstrike w:val="false"/>
          <w:color w:val="91C353"/>
          <w:sz w:val="40"/>
          <w:u w:val="none"/>
          <w:effect w:val="none"/>
        </w:rPr>
        <w:t>Forward-looking statements</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The contents of this announcement include statements that are, or may be deemed to be, “forward-looking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statements.” These forward-looking statements generally can be identified by the use of forward-looking words, such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as “aim”, “anticipate”, “aspire”, “believe”, “can”, “continue”, “could”, “estimate”, “expect”, “entail”, “forecast”, “future”, </w:t>
      </w:r>
    </w:p>
    <w:p>
      <w:pPr>
        <w:pStyle w:val="TextBody"/>
        <w:bidi w:val="0"/>
        <w:spacing w:lineRule="atLeast" w:line="180" w:before="0" w:after="0"/>
        <w:jc w:val="left"/>
        <w:rPr>
          <w:caps w:val="false"/>
          <w:smallCaps w:val="false"/>
          <w:strike w:val="false"/>
          <w:dstrike w:val="false"/>
          <w:color w:val="5A5A5A"/>
          <w:u w:val="none"/>
          <w:effect w:val="none"/>
          <w:shd w:fill="FFFFFF" w:val="clear"/>
        </w:rPr>
      </w:pPr>
      <w:r>
        <w:rPr>
          <w:caps w:val="false"/>
          <w:smallCaps w:val="false"/>
          <w:strike w:val="false"/>
          <w:dstrike w:val="false"/>
          <w:color w:val="5A5A5A"/>
          <w:u w:val="none"/>
          <w:effect w:val="none"/>
          <w:shd w:fill="FFFFFF" w:val="clear"/>
        </w:rPr>
        <w:t>“</w:t>
      </w:r>
      <w:r>
        <w:rPr>
          <w:rFonts w:ascii="Arial;sans-serif" w:hAnsi="Arial;sans-serif"/>
          <w:b w:val="false"/>
          <w:i w:val="false"/>
          <w:caps w:val="false"/>
          <w:smallCaps w:val="false"/>
          <w:strike w:val="false"/>
          <w:dstrike w:val="false"/>
          <w:color w:val="5A5A5A"/>
          <w:sz w:val="18"/>
          <w:u w:val="none"/>
          <w:effect w:val="none"/>
          <w:shd w:fill="FFFFFF" w:val="clear"/>
        </w:rPr>
        <w:t xml:space="preserve">goals”, “hope”, “intend”, “is designed to”, “likely”, “may”, “might”, “objective”, “plan”, “possible”, “potential”, “pursue”, </w:t>
      </w:r>
    </w:p>
    <w:p>
      <w:pPr>
        <w:pStyle w:val="TextBody"/>
        <w:bidi w:val="0"/>
        <w:spacing w:lineRule="atLeast" w:line="180" w:before="0" w:after="0"/>
        <w:jc w:val="left"/>
        <w:rPr>
          <w:caps w:val="false"/>
          <w:smallCaps w:val="false"/>
          <w:strike w:val="false"/>
          <w:dstrike w:val="false"/>
          <w:color w:val="5A5A5A"/>
          <w:u w:val="none"/>
          <w:effect w:val="none"/>
          <w:shd w:fill="FFFFFF" w:val="clear"/>
        </w:rPr>
      </w:pPr>
      <w:r>
        <w:rPr>
          <w:caps w:val="false"/>
          <w:smallCaps w:val="false"/>
          <w:strike w:val="false"/>
          <w:dstrike w:val="false"/>
          <w:color w:val="5A5A5A"/>
          <w:u w:val="none"/>
          <w:effect w:val="none"/>
          <w:shd w:fill="FFFFFF" w:val="clear"/>
        </w:rPr>
        <w:t>“</w:t>
      </w:r>
      <w:r>
        <w:rPr>
          <w:rFonts w:ascii="Arial;sans-serif" w:hAnsi="Arial;sans-serif"/>
          <w:b w:val="false"/>
          <w:i w:val="false"/>
          <w:caps w:val="false"/>
          <w:smallCaps w:val="false"/>
          <w:strike w:val="false"/>
          <w:dstrike w:val="false"/>
          <w:color w:val="5A5A5A"/>
          <w:sz w:val="18"/>
          <w:u w:val="none"/>
          <w:effect w:val="none"/>
          <w:shd w:fill="FFFFFF" w:val="clear"/>
        </w:rPr>
        <w:t xml:space="preserve">project”, “predict”, “seek”, “should”, “strategy”, “target”, “will” and other words and terms of similar meaning and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expression, including in connection with any discussion of future operating or financial performance. By their nature,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forward-looking statements involve risks and uncertainties and readers are cautioned that any such forward-looking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statements are not guarantees of future performance. argenx’s actual results may differ materially from those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predicted by the forward-looking statements as a result of various important factors, including but not limited to, the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initiation, timing, progress, development and results of preclinical and clinical trials of argenx’s product candidates,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including new indications, alternative dosing regimens, treatment modalities, and methods of administration, including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statements regarding when results or interim analysis of the clinical trials will be available or made public; the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expansion of argenx’s business, including the further development of argenx’s sales and marketing abilities and its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Immunology Innovation Program, and the value of its pipeline; the potential attributes, benefits, and side effects of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argenx’s products and product candidates, including new indications, alternative dosing regimens and treatment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modalities, and their competitive position with respect to other alternative treatments; argenx’s ability to advance </w:t>
      </w:r>
    </w:p>
    <w:tbl>
      <w:tblPr>
        <w:tblW w:w="4068" w:type="dxa"/>
        <w:jc w:val="left"/>
        <w:tblInd w:w="0" w:type="dxa"/>
        <w:tblLayout w:type="fixed"/>
        <w:tblCellMar>
          <w:top w:w="28" w:type="dxa"/>
          <w:left w:w="28" w:type="dxa"/>
          <w:bottom w:w="28" w:type="dxa"/>
          <w:right w:w="28" w:type="dxa"/>
        </w:tblCellMar>
      </w:tblPr>
      <w:tblGrid>
        <w:gridCol w:w="2551"/>
        <w:gridCol w:w="1291"/>
        <w:gridCol w:w="226"/>
      </w:tblGrid>
      <w:tr>
        <w:trPr/>
        <w:tc>
          <w:tcPr>
            <w:tcW w:w="255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1291" w:type="dxa"/>
            <w:tcBorders>
              <w:right w:val="single" w:sz="8" w:space="0" w:color="0B436E"/>
            </w:tcBorders>
            <w:tcMar>
              <w:top w:w="0" w:type="dxa"/>
              <w:left w:w="0" w:type="dxa"/>
              <w:bottom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Management report</w:t>
            </w:r>
          </w:p>
        </w:tc>
        <w:tc>
          <w:tcPr>
            <w:tcW w:w="226" w:type="dxa"/>
            <w:tcBorders>
              <w:left w:val="single" w:sz="8" w:space="0" w:color="0B436E"/>
            </w:tcBorders>
            <w:tcMar>
              <w:top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5</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5A5A5A"/>
                  <w:sz w:val="14"/>
                  <w:u w:val="singl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single"/>
                  <w:effect w:val="none"/>
                </w:rPr>
                <w:t>Financial Statements</w:t>
              </w:r>
            </w:hyperlink>
          </w:p>
        </w:tc>
        <w:tc>
          <w:tcPr>
            <w:tcW w:w="466" w:type="dxa"/>
            <w:tcBorders/>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B6B6B6"/>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product candidates into, and successfully complete, clinical trials; argenx’s estimates of the number of patients who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suffer from the diseases it is targeting and the number of patients that will enroll in its clinical trials; the demand and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commercialization of argenx’s products and product candidates, including new indications, alternative dosing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regimens, treatment modalities, and methods of administration, if approved; the anticipated timing or likelihood of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market or regulatory decisions relating to or of argenx’s products, including new indications, alternative dosing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regimens, treatment modalities, and methods of administration; the anticipated pricing and reimbursement of argenx’s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products and product candidates, if approved; argenx’s plans to have various programs to help patients afford its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products, including patient assistance and co-pay coupon programs for eligible patients; argenx’s ability to establish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sales, marketing and distribution capabilities for any of its products and product candidates that achieve regulatory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approval; argenx’s regulatory strategy and its ability to establish and maintain manufacturing arrangements for its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products and product candidates; the scope and duration of protection, including any exclusivity period, argenx is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able to establish and maintain for intellectual property rights covering its products and product candidates, platform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and technology, including its intention to seek patent term extensions where available; argenx’s estimates regarding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expenses, future revenues, cash flow, capital requirements and its needs for additional financing; argenx’s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expectation that it will benefit from the Belgian innovation income deduction; argenx’s financial performance, including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potential volatility in the price of its ordinary shares and American Depositary Shares; the competition argenx faces in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its drug discovery, development, and commercialization efforts; the rate and degree of market acceptance of argenx’s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products and product candidates, if approved, by its patients as safe, effective and cost-effective; the potential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benefits of argenx’s current collaborations, including the possibility to access partner technology platforms or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capabilities; argenx’s plans and ability to enter into or maintain current collaborations for additional programs or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product candidates; argenx’s plans and ability to enter into or maintain current new distribution partnerships; argenx’s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long-term growth strategy to develop and market additional products and product candidates, including efgartigimod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for new indications, empasiprubart and adimanebart; the impact of government laws and regulations, including tariffs,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export controls, sanctions and other regulations on argenx’s business; argenx’s expectations with respect to the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timing and amount of any dividends (if any); argenx’s plans regarding its supply chain, including its reliance on third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parties, service providers and manufacturers; inflation and deflation and the corresponding fluctuations in interest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rates; regional instability and conflicts; and argenx’s business strategies, including Vision 2030, plans, projects, goals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and targets and the timing, outcomes and benefits thereof. A further list and description of these and other risks,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uncertainties, and factors that could cause actual results to differ materially from those referred to in the forward-</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looking statements can be found in argenx’s U.S. Securities and Exchange Commission (SEC) filings and reports,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including in argenx’s most recent annual report on Form 20-F filed with the SEC as well as subsequent filings and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reports filed by argenx with the SEC. Given these risks and uncertainties, the reader is advised not to place undue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reliance on such forward-looking statements. These forward-looking statements speak only as of the date of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publication of this press release. argenx undertakes no obligation to publicly update or revise the information in this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press release, including any forward-looking statements,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pPr>
      <w:r>
        <w:rPr>
          <w:rFonts w:ascii="Arial;sans-serif" w:hAnsi="Arial;sans-serif"/>
          <w:b w:val="false"/>
          <w:i w:val="false"/>
          <w:caps w:val="false"/>
          <w:smallCaps w:val="false"/>
          <w:strike w:val="false"/>
          <w:dstrike w:val="false"/>
          <w:color w:val="91C353"/>
          <w:sz w:val="40"/>
          <w:u w:val="none"/>
          <w:effect w:val="none"/>
        </w:rPr>
        <w:t>5</w:t>
      </w:r>
      <w:bookmarkStart w:id="17" w:name="ib324b2b439d0410e85cffeafb1d99ca9"/>
      <w:bookmarkEnd w:id="17"/>
      <w:r>
        <w:rPr>
          <w:rFonts w:ascii="Arial;sans-serif" w:hAnsi="Arial;sans-serif"/>
          <w:b w:val="false"/>
          <w:i w:val="false"/>
          <w:caps w:val="false"/>
          <w:smallCaps w:val="false"/>
          <w:strike w:val="false"/>
          <w:dstrike w:val="false"/>
          <w:color w:val="91C353"/>
          <w:sz w:val="40"/>
          <w:u w:val="none"/>
          <w:effect w:val="none"/>
        </w:rPr>
        <w:t xml:space="preserve">Statement of the board of directors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We hereby certify that, to the best of our knowledge, the unaudited condensed consolidated interim financial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statements of argenx SE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as of and 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 prepared in accordance with IFRS</w:t>
      </w:r>
      <w:r>
        <w:rPr>
          <w:rFonts w:ascii="Arial;sans-serif" w:hAnsi="Arial;sans-serif"/>
          <w:b w:val="false"/>
          <w:i w:val="false"/>
          <w:caps w:val="false"/>
          <w:smallCaps w:val="false"/>
          <w:strike w:val="false"/>
          <w:dstrike w:val="false"/>
          <w:color w:val="5A5A5A"/>
          <w:sz w:val="12"/>
          <w:u w:val="none"/>
          <w:effect w:val="none"/>
        </w:rPr>
        <w:t>®</w:t>
      </w:r>
      <w:r>
        <w:rPr>
          <w:caps w:val="false"/>
          <w:smallCaps w:val="false"/>
          <w:strike w:val="false"/>
          <w:dstrike w:val="false"/>
          <w:color w:val="5A5A5A"/>
          <w:sz w:val="24"/>
          <w:u w:val="none"/>
          <w:effect w:val="none"/>
        </w:rPr>
        <w:t xml:space="preserv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Accounting Standards (IFRS) namely IAS 34 “Interim Financial Reporting” as adopted by the European Union, gives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a true and fair view of the assets, liabilities, financial position and total comprehensive income of the Company and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undertakings included in the consolidation as a whole, and that the management report includes a fair review of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development and performance of the business and the position of the Company and the undertakings included in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the consolidation taken as a whole, together with a description of the principal risks and uncertainties that they face.</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91C353"/>
          <w:sz w:val="18"/>
          <w:u w:val="none"/>
          <w:effect w:val="none"/>
        </w:rPr>
      </w:pPr>
      <w:r>
        <w:rPr>
          <w:rFonts w:ascii="Arial;sans-serif" w:hAnsi="Arial;sans-serif"/>
          <w:b w:val="false"/>
          <w:i w:val="false"/>
          <w:caps w:val="false"/>
          <w:smallCaps w:val="false"/>
          <w:strike w:val="false"/>
          <w:dstrike w:val="false"/>
          <w:color w:val="91C353"/>
          <w:sz w:val="18"/>
          <w:u w:val="none"/>
          <w:effect w:val="none"/>
        </w:rPr>
        <w:t>On behalf of the Board of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91C353"/>
          <w:sz w:val="18"/>
          <w:u w:val="none"/>
          <w:effect w:val="none"/>
        </w:rPr>
      </w:pPr>
      <w:r>
        <w:rPr>
          <w:rFonts w:ascii="Arial;sans-serif" w:hAnsi="Arial;sans-serif"/>
          <w:b w:val="false"/>
          <w:i w:val="false"/>
          <w:caps w:val="false"/>
          <w:smallCaps w:val="false"/>
          <w:strike w:val="false"/>
          <w:dstrike w:val="false"/>
          <w:color w:val="91C353"/>
          <w:sz w:val="18"/>
          <w:u w:val="none"/>
          <w:effect w:val="none"/>
        </w:rPr>
        <w:t>Karen Massey, CEO</w:t>
      </w:r>
    </w:p>
    <w:tbl>
      <w:tblPr>
        <w:tblW w:w="7473" w:type="dxa"/>
        <w:jc w:val="left"/>
        <w:tblInd w:w="0" w:type="dxa"/>
        <w:tblLayout w:type="fixed"/>
        <w:tblCellMar>
          <w:top w:w="28" w:type="dxa"/>
          <w:left w:w="28" w:type="dxa"/>
          <w:bottom w:w="28" w:type="dxa"/>
          <w:right w:w="28" w:type="dxa"/>
        </w:tblCellMar>
      </w:tblPr>
      <w:tblGrid>
        <w:gridCol w:w="2551"/>
        <w:gridCol w:w="4696"/>
        <w:gridCol w:w="226"/>
      </w:tblGrid>
      <w:tr>
        <w:trPr/>
        <w:tc>
          <w:tcPr>
            <w:tcW w:w="2551" w:type="dxa"/>
            <w:tcBorders/>
            <w:vAlign w:val="center"/>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696" w:type="dxa"/>
            <w:tcBorders>
              <w:right w:val="single" w:sz="8" w:space="0" w:color="0B436E"/>
            </w:tcBorders>
            <w:tcMar>
              <w:top w:w="0" w:type="dxa"/>
              <w:left w:w="0" w:type="dxa"/>
              <w:bottom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Unaudited condensed consolidated interim statements of financial position</w:t>
            </w:r>
          </w:p>
        </w:tc>
        <w:tc>
          <w:tcPr>
            <w:tcW w:w="226" w:type="dxa"/>
            <w:tcBorders>
              <w:left w:val="single" w:sz="8" w:space="0" w:color="0B436E"/>
            </w:tcBorders>
            <w:tcMar>
              <w:top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6</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5A5A5A"/>
                  <w:sz w:val="14"/>
                  <w:u w:val="single"/>
                  <w:effect w:val="none"/>
                </w:rPr>
                <w:t>Financial Statements</w:t>
              </w:r>
            </w:hyperlink>
          </w:p>
        </w:tc>
        <w:tc>
          <w:tcPr>
            <w:tcW w:w="466" w:type="dxa"/>
            <w:tcBorders/>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B6B6B6"/>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560" w:before="0" w:after="0"/>
        <w:jc w:val="left"/>
        <w:rPr>
          <w:rFonts w:ascii="Arial;sans-serif" w:hAnsi="Arial;sans-serif"/>
          <w:b w:val="false"/>
          <w:i w:val="false"/>
          <w:caps w:val="false"/>
          <w:smallCaps w:val="false"/>
          <w:strike w:val="false"/>
          <w:dstrike w:val="false"/>
          <w:color w:val="91C353"/>
          <w:sz w:val="56"/>
          <w:u w:val="none"/>
          <w:effect w:val="none"/>
        </w:rPr>
      </w:pPr>
      <w:r>
        <w:rPr>
          <w:rFonts w:ascii="Arial;sans-serif" w:hAnsi="Arial;sans-serif"/>
          <w:b w:val="false"/>
          <w:i w:val="false"/>
          <w:caps w:val="false"/>
          <w:smallCaps w:val="false"/>
          <w:strike w:val="false"/>
          <w:dstrike w:val="false"/>
          <w:color w:val="91C353"/>
          <w:sz w:val="56"/>
          <w:u w:val="none"/>
          <w:effect w:val="none"/>
        </w:rPr>
        <w:t xml:space="preserve">Unaudited condensed consolidated </w:t>
      </w:r>
      <w:bookmarkStart w:id="18" w:name="i7aa9f7f8430e4139bd28cedf84369e1e"/>
      <w:bookmarkEnd w:id="18"/>
    </w:p>
    <w:p>
      <w:pPr>
        <w:pStyle w:val="TextBody"/>
        <w:bidi w:val="0"/>
        <w:spacing w:lineRule="atLeast" w:line="560" w:before="0" w:after="0"/>
        <w:jc w:val="left"/>
        <w:rPr>
          <w:rFonts w:ascii="Arial;sans-serif" w:hAnsi="Arial;sans-serif"/>
          <w:b w:val="false"/>
          <w:i w:val="false"/>
          <w:caps w:val="false"/>
          <w:smallCaps w:val="false"/>
          <w:strike w:val="false"/>
          <w:dstrike w:val="false"/>
          <w:color w:val="91C353"/>
          <w:sz w:val="56"/>
          <w:u w:val="none"/>
          <w:effect w:val="none"/>
        </w:rPr>
      </w:pPr>
      <w:r>
        <w:rPr>
          <w:rFonts w:ascii="Arial;sans-serif" w:hAnsi="Arial;sans-serif"/>
          <w:b w:val="false"/>
          <w:i w:val="false"/>
          <w:caps w:val="false"/>
          <w:smallCaps w:val="false"/>
          <w:strike w:val="false"/>
          <w:dstrike w:val="false"/>
          <w:color w:val="91C353"/>
          <w:sz w:val="56"/>
          <w:u w:val="none"/>
          <w:effect w:val="none"/>
        </w:rPr>
        <w:t>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val="false"/>
          <w:i w:val="false"/>
          <w:caps w:val="false"/>
          <w:smallCaps w:val="false"/>
          <w:strike w:val="false"/>
          <w:dstrike w:val="false"/>
          <w:color w:val="91C353"/>
          <w:sz w:val="40"/>
          <w:u w:val="none"/>
          <w:effect w:val="none"/>
        </w:rPr>
      </w:pPr>
      <w:r>
        <w:rPr>
          <w:rFonts w:ascii="Arial;sans-serif" w:hAnsi="Arial;sans-serif"/>
          <w:b w:val="false"/>
          <w:i w:val="false"/>
          <w:caps w:val="false"/>
          <w:smallCaps w:val="false"/>
          <w:strike w:val="false"/>
          <w:dstrike w:val="false"/>
          <w:color w:val="91C353"/>
          <w:sz w:val="40"/>
          <w:u w:val="none"/>
          <w:effect w:val="none"/>
        </w:rPr>
        <w:t xml:space="preserve">Unaudited condensed consolidated interim </w:t>
      </w:r>
      <w:bookmarkStart w:id="19" w:name="i9a50a904e9494e07b8a6c3c9b55b9ac8"/>
      <w:bookmarkEnd w:id="19"/>
    </w:p>
    <w:p>
      <w:pPr>
        <w:pStyle w:val="TextBody"/>
        <w:bidi w:val="0"/>
        <w:spacing w:lineRule="atLeast" w:line="400" w:before="0" w:after="0"/>
        <w:jc w:val="left"/>
        <w:rPr>
          <w:rFonts w:ascii="Arial;sans-serif" w:hAnsi="Arial;sans-serif"/>
          <w:b w:val="false"/>
          <w:i w:val="false"/>
          <w:caps w:val="false"/>
          <w:smallCaps w:val="false"/>
          <w:strike w:val="false"/>
          <w:dstrike w:val="false"/>
          <w:color w:val="91C353"/>
          <w:sz w:val="40"/>
          <w:u w:val="none"/>
          <w:effect w:val="none"/>
        </w:rPr>
      </w:pPr>
      <w:r>
        <w:rPr>
          <w:rFonts w:ascii="Arial;sans-serif" w:hAnsi="Arial;sans-serif"/>
          <w:b w:val="false"/>
          <w:i w:val="false"/>
          <w:caps w:val="false"/>
          <w:smallCaps w:val="false"/>
          <w:strike w:val="false"/>
          <w:dstrike w:val="false"/>
          <w:color w:val="91C353"/>
          <w:sz w:val="40"/>
          <w:u w:val="none"/>
          <w:effect w:val="none"/>
        </w:rPr>
        <w:t>statements of financial position</w:t>
      </w:r>
    </w:p>
    <w:tbl>
      <w:tblPr>
        <w:tblW w:w="7528" w:type="dxa"/>
        <w:jc w:val="left"/>
        <w:tblInd w:w="0" w:type="dxa"/>
        <w:tblLayout w:type="fixed"/>
        <w:tblCellMar>
          <w:top w:w="28" w:type="dxa"/>
          <w:left w:w="28" w:type="dxa"/>
          <w:bottom w:w="28" w:type="dxa"/>
          <w:right w:w="28" w:type="dxa"/>
        </w:tblCellMar>
      </w:tblPr>
      <w:tblGrid>
        <w:gridCol w:w="4296"/>
        <w:gridCol w:w="126"/>
        <w:gridCol w:w="557"/>
        <w:gridCol w:w="126"/>
        <w:gridCol w:w="888"/>
        <w:gridCol w:w="126"/>
        <w:gridCol w:w="1409"/>
      </w:tblGrid>
      <w:tr>
        <w:trPr/>
        <w:tc>
          <w:tcPr>
            <w:tcW w:w="42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42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23" w:type="dxa"/>
            <w:gridSpan w:val="3"/>
            <w:tcBorders>
              <w:bottom w:val="single" w:sz="8" w:space="0" w:color="5A5A5A"/>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 of</w:t>
            </w:r>
          </w:p>
        </w:tc>
      </w:tr>
      <w:tr>
        <w:trPr/>
        <w:tc>
          <w:tcPr>
            <w:tcW w:w="42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June 30,</w:t>
            </w:r>
          </w:p>
        </w:tc>
        <w:tc>
          <w:tcPr>
            <w:tcW w:w="126"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December 31,</w:t>
            </w:r>
          </w:p>
        </w:tc>
      </w:tr>
      <w:tr>
        <w:trPr/>
        <w:tc>
          <w:tcPr>
            <w:tcW w:w="4296" w:type="dxa"/>
            <w:tcBorders>
              <w:bottom w:val="single" w:sz="8" w:space="0" w:color="5A5A5A"/>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bottom w:val="single" w:sz="8" w:space="0" w:color="5A5A5A"/>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Note</w:t>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2025</w:t>
            </w:r>
          </w:p>
        </w:tc>
      </w:tr>
      <w:tr>
        <w:trPr/>
        <w:tc>
          <w:tcPr>
            <w:tcW w:w="4296"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Assets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8"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r>
      <w:tr>
        <w:trPr/>
        <w:tc>
          <w:tcPr>
            <w:tcW w:w="4296"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Non</w:t>
              <w:noBreakHyphen/>
              <w:t>current assets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8"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8"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296" w:type="dxa"/>
            <w:tcBorders>
              <w:top w:val="single" w:sz="8"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Property, plant and equipment</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52</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48</w:t>
            </w:r>
          </w:p>
        </w:tc>
      </w:tr>
      <w:tr>
        <w:trPr/>
        <w:tc>
          <w:tcPr>
            <w:tcW w:w="4296"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Intangible assets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266</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272</w:t>
            </w:r>
          </w:p>
        </w:tc>
      </w:tr>
      <w:tr>
        <w:trPr/>
        <w:tc>
          <w:tcPr>
            <w:tcW w:w="4296"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Deferred tax assets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13</w:t>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1,429</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1,296</w:t>
            </w:r>
          </w:p>
        </w:tc>
      </w:tr>
      <w:tr>
        <w:trPr/>
        <w:tc>
          <w:tcPr>
            <w:tcW w:w="4296"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Research and development incentive receivables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69</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86</w:t>
            </w:r>
          </w:p>
        </w:tc>
      </w:tr>
      <w:tr>
        <w:trPr/>
        <w:tc>
          <w:tcPr>
            <w:tcW w:w="4296"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Prepaid expenses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24</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26</w:t>
            </w:r>
          </w:p>
        </w:tc>
      </w:tr>
      <w:tr>
        <w:trPr/>
        <w:tc>
          <w:tcPr>
            <w:tcW w:w="4296"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5A5A5A"/>
                <w:sz w:val="16"/>
                <w:u w:val="none"/>
                <w:effect w:val="none"/>
              </w:rPr>
              <w:t>Other non-current assets</w:t>
            </w:r>
            <w:r>
              <w:rPr>
                <w:rFonts w:ascii="Arial;sans-serif" w:hAnsi="Arial;sans-serif"/>
                <w:b w:val="false"/>
                <w:i w:val="false"/>
                <w:caps w:val="false"/>
                <w:smallCaps w:val="false"/>
                <w:strike w:val="false"/>
                <w:dstrike w:val="false"/>
                <w:color w:val="5A5A5A"/>
                <w:sz w:val="10"/>
                <w:u w:val="none"/>
                <w:effect w:val="none"/>
              </w:rPr>
              <w:t>1)</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124</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55</w:t>
            </w:r>
          </w:p>
        </w:tc>
      </w:tr>
      <w:tr>
        <w:trPr/>
        <w:tc>
          <w:tcPr>
            <w:tcW w:w="4296"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non</w:t>
              <w:noBreakHyphen/>
              <w:t>current assets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1,964</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1,784</w:t>
            </w:r>
          </w:p>
        </w:tc>
      </w:tr>
      <w:tr>
        <w:trPr/>
        <w:tc>
          <w:tcPr>
            <w:tcW w:w="4296"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296"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Current assets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r>
      <w:tr>
        <w:trPr/>
        <w:tc>
          <w:tcPr>
            <w:tcW w:w="4296" w:type="dxa"/>
            <w:tcBorders>
              <w:top w:val="single" w:sz="8"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Inventories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8"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3</w:t>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371</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474</w:t>
            </w:r>
          </w:p>
        </w:tc>
      </w:tr>
      <w:tr>
        <w:trPr/>
        <w:tc>
          <w:tcPr>
            <w:tcW w:w="4296"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Prepaid expenses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572</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328</w:t>
            </w:r>
          </w:p>
        </w:tc>
      </w:tr>
      <w:tr>
        <w:trPr/>
        <w:tc>
          <w:tcPr>
            <w:tcW w:w="4296"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Trade and other receivables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4</w:t>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1,931</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1,647</w:t>
            </w:r>
          </w:p>
        </w:tc>
      </w:tr>
      <w:tr>
        <w:trPr/>
        <w:tc>
          <w:tcPr>
            <w:tcW w:w="4296"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Research and development incentive receivables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10</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10</w:t>
            </w:r>
          </w:p>
        </w:tc>
      </w:tr>
      <w:tr>
        <w:trPr/>
        <w:tc>
          <w:tcPr>
            <w:tcW w:w="4296"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Financial assets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5</w:t>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1,600</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949</w:t>
            </w:r>
          </w:p>
        </w:tc>
      </w:tr>
      <w:tr>
        <w:trPr/>
        <w:tc>
          <w:tcPr>
            <w:tcW w:w="4296"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Cash and cash equivalents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6</w:t>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3,584</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3,491</w:t>
            </w:r>
          </w:p>
        </w:tc>
      </w:tr>
      <w:tr>
        <w:trPr/>
        <w:tc>
          <w:tcPr>
            <w:tcW w:w="4296"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current assets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8,068</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6,899</w:t>
            </w:r>
          </w:p>
        </w:tc>
      </w:tr>
      <w:tr>
        <w:trPr/>
        <w:tc>
          <w:tcPr>
            <w:tcW w:w="4296"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296"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assets</w:t>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10,032</w:t>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8,683</w:t>
            </w:r>
          </w:p>
        </w:tc>
      </w:tr>
      <w:tr>
        <w:trPr/>
        <w:tc>
          <w:tcPr>
            <w:tcW w:w="4296"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7"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09"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7"/>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3"/>
                <w:u w:val="none"/>
                <w:effect w:val="none"/>
              </w:rPr>
            </w:pPr>
            <w:r>
              <w:rPr>
                <w:rFonts w:ascii="Arial;sans-serif" w:hAnsi="Arial;sans-serif"/>
                <w:b w:val="false"/>
                <w:i w:val="false"/>
                <w:caps w:val="false"/>
                <w:smallCaps w:val="false"/>
                <w:strike w:val="false"/>
                <w:dstrike w:val="false"/>
                <w:sz w:val="13"/>
                <w:u w:val="none"/>
                <w:effect w:val="none"/>
              </w:rPr>
              <w:t>The accompanying notes form an integral part of these unaudited condensed consolidated interim financial statements.</w:t>
            </w:r>
          </w:p>
        </w:tc>
      </w:tr>
    </w:tbl>
    <w:p>
      <w:pPr>
        <w:pStyle w:val="TextBody"/>
        <w:bidi w:val="0"/>
        <w:spacing w:lineRule="atLeast" w:line="142" w:before="0" w:after="0"/>
        <w:jc w:val="left"/>
        <w:rPr>
          <w:rFonts w:ascii="Arial;sans-serif" w:hAnsi="Arial;sans-serif"/>
          <w:b w:val="false"/>
          <w:i w:val="false"/>
          <w:caps w:val="false"/>
          <w:smallCaps w:val="false"/>
          <w:strike w:val="false"/>
          <w:dstrike w:val="false"/>
          <w:color w:val="5A5A5A"/>
          <w:sz w:val="13"/>
          <w:u w:val="none"/>
          <w:effect w:val="none"/>
        </w:rPr>
      </w:pPr>
      <w:r>
        <w:rPr>
          <w:rFonts w:ascii="Arial;sans-serif" w:hAnsi="Arial;sans-serif"/>
          <w:b w:val="false"/>
          <w:i w:val="false"/>
          <w:caps w:val="false"/>
          <w:smallCaps w:val="false"/>
          <w:strike w:val="false"/>
          <w:dstrike w:val="false"/>
          <w:color w:val="5A5A5A"/>
          <w:sz w:val="13"/>
          <w:u w:val="none"/>
          <w:effect w:val="none"/>
        </w:rPr>
        <w:t xml:space="preserve">1)Comparative figures have been aligned with the presentation adopted in the current period, reflecting the combination of investment in a joint venture and other </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5A5A5A"/>
          <w:sz w:val="13"/>
          <w:u w:val="none"/>
          <w:effect w:val="none"/>
        </w:rPr>
      </w:pPr>
      <w:r>
        <w:rPr>
          <w:rFonts w:ascii="Arial;sans-serif" w:hAnsi="Arial;sans-serif"/>
          <w:b w:val="false"/>
          <w:i w:val="false"/>
          <w:caps w:val="false"/>
          <w:smallCaps w:val="false"/>
          <w:strike w:val="false"/>
          <w:dstrike w:val="false"/>
          <w:color w:val="5A5A5A"/>
          <w:sz w:val="13"/>
          <w:u w:val="none"/>
          <w:effect w:val="none"/>
        </w:rPr>
        <w:t xml:space="preserve">non-current assets. </w:t>
      </w:r>
    </w:p>
    <w:tbl>
      <w:tblPr>
        <w:tblW w:w="7473" w:type="dxa"/>
        <w:jc w:val="left"/>
        <w:tblInd w:w="0" w:type="dxa"/>
        <w:tblLayout w:type="fixed"/>
        <w:tblCellMar>
          <w:top w:w="28" w:type="dxa"/>
          <w:left w:w="28" w:type="dxa"/>
          <w:bottom w:w="28" w:type="dxa"/>
          <w:right w:w="28" w:type="dxa"/>
        </w:tblCellMar>
      </w:tblPr>
      <w:tblGrid>
        <w:gridCol w:w="2551"/>
        <w:gridCol w:w="4696"/>
        <w:gridCol w:w="226"/>
      </w:tblGrid>
      <w:tr>
        <w:trPr/>
        <w:tc>
          <w:tcPr>
            <w:tcW w:w="2551" w:type="dxa"/>
            <w:tcBorders/>
            <w:vAlign w:val="center"/>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696" w:type="dxa"/>
            <w:tcBorders>
              <w:right w:val="single" w:sz="8" w:space="0" w:color="0B436E"/>
            </w:tcBorders>
            <w:tcMar>
              <w:top w:w="0" w:type="dxa"/>
              <w:left w:w="0" w:type="dxa"/>
              <w:bottom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Unaudited condensed consolidated interim statements of financial position</w:t>
            </w:r>
          </w:p>
        </w:tc>
        <w:tc>
          <w:tcPr>
            <w:tcW w:w="226" w:type="dxa"/>
            <w:tcBorders>
              <w:left w:val="single" w:sz="8" w:space="0" w:color="0B436E"/>
            </w:tcBorders>
            <w:tcMar>
              <w:top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7</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5A5A5A"/>
                  <w:sz w:val="14"/>
                  <w:u w:val="single"/>
                  <w:effect w:val="none"/>
                </w:rPr>
                <w:t>Financial Statements</w:t>
              </w:r>
            </w:hyperlink>
          </w:p>
        </w:tc>
        <w:tc>
          <w:tcPr>
            <w:tcW w:w="466" w:type="dxa"/>
            <w:tcBorders/>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B6B6B6"/>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528" w:type="dxa"/>
        <w:jc w:val="left"/>
        <w:tblInd w:w="0" w:type="dxa"/>
        <w:tblLayout w:type="fixed"/>
        <w:tblCellMar>
          <w:top w:w="28" w:type="dxa"/>
          <w:left w:w="28" w:type="dxa"/>
          <w:bottom w:w="28" w:type="dxa"/>
          <w:right w:w="28" w:type="dxa"/>
        </w:tblCellMar>
      </w:tblPr>
      <w:tblGrid>
        <w:gridCol w:w="3985"/>
        <w:gridCol w:w="138"/>
        <w:gridCol w:w="611"/>
        <w:gridCol w:w="138"/>
        <w:gridCol w:w="973"/>
        <w:gridCol w:w="138"/>
        <w:gridCol w:w="1545"/>
      </w:tblGrid>
      <w:tr>
        <w:trPr/>
        <w:tc>
          <w:tcPr>
            <w:tcW w:w="39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39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56" w:type="dxa"/>
            <w:gridSpan w:val="3"/>
            <w:tcBorders>
              <w:bottom w:val="single" w:sz="8" w:space="0" w:color="5A5A5A"/>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 of</w:t>
            </w:r>
          </w:p>
        </w:tc>
      </w:tr>
      <w:tr>
        <w:trPr/>
        <w:tc>
          <w:tcPr>
            <w:tcW w:w="39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June 30,</w:t>
            </w:r>
          </w:p>
        </w:tc>
        <w:tc>
          <w:tcPr>
            <w:tcW w:w="138"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December 31,</w:t>
            </w:r>
          </w:p>
        </w:tc>
      </w:tr>
      <w:tr>
        <w:trPr/>
        <w:tc>
          <w:tcPr>
            <w:tcW w:w="3985" w:type="dxa"/>
            <w:tcBorders>
              <w:bottom w:val="single" w:sz="8" w:space="0" w:color="5A5A5A"/>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bottom w:val="single" w:sz="8" w:space="0" w:color="5A5A5A"/>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Note</w:t>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2025</w:t>
            </w:r>
          </w:p>
        </w:tc>
      </w:tr>
      <w:tr>
        <w:trPr/>
        <w:tc>
          <w:tcPr>
            <w:tcW w:w="3985"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Equity and Liabilities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r>
      <w:tr>
        <w:trPr/>
        <w:tc>
          <w:tcPr>
            <w:tcW w:w="3985"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Equity</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7</w:t>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r>
      <w:tr>
        <w:trPr/>
        <w:tc>
          <w:tcPr>
            <w:tcW w:w="3985" w:type="dxa"/>
            <w:tcBorders>
              <w:top w:val="single" w:sz="8"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Equity attributable to owners of the parent</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8" w:space="0" w:color="5A5A5A"/>
              <w:bottom w:val="single" w:sz="4" w:space="0" w:color="5A5A5A"/>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r>
      <w:tr>
        <w:trPr/>
        <w:tc>
          <w:tcPr>
            <w:tcW w:w="398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Share capital</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w:t>
            </w:r>
          </w:p>
        </w:tc>
      </w:tr>
      <w:tr>
        <w:trPr/>
        <w:tc>
          <w:tcPr>
            <w:tcW w:w="398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Share premium</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6,308</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6,187</w:t>
            </w:r>
          </w:p>
        </w:tc>
      </w:tr>
      <w:tr>
        <w:trPr/>
        <w:tc>
          <w:tcPr>
            <w:tcW w:w="398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Translation differences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138</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139</w:t>
            </w:r>
          </w:p>
        </w:tc>
      </w:tr>
      <w:tr>
        <w:trPr/>
        <w:tc>
          <w:tcPr>
            <w:tcW w:w="398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Retained earnings/(accumulated losses)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558</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(280)</w:t>
            </w:r>
          </w:p>
        </w:tc>
      </w:tr>
      <w:tr>
        <w:trPr/>
        <w:tc>
          <w:tcPr>
            <w:tcW w:w="398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Other reserves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1,406</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1,270</w:t>
            </w:r>
          </w:p>
        </w:tc>
      </w:tr>
      <w:tr>
        <w:trPr/>
        <w:tc>
          <w:tcPr>
            <w:tcW w:w="3985"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equity</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8,417</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7,323</w:t>
            </w:r>
          </w:p>
        </w:tc>
      </w:tr>
      <w:tr>
        <w:trPr/>
        <w:tc>
          <w:tcPr>
            <w:tcW w:w="3985"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Non-current liabilities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tcBorders>
              <w:top w:val="single" w:sz="8"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Provisions for employee benefits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8"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w:t>
            </w:r>
          </w:p>
        </w:tc>
      </w:tr>
      <w:tr>
        <w:trPr/>
        <w:tc>
          <w:tcPr>
            <w:tcW w:w="398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Lease liabilities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36</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36</w:t>
            </w:r>
          </w:p>
        </w:tc>
      </w:tr>
      <w:tr>
        <w:trPr/>
        <w:tc>
          <w:tcPr>
            <w:tcW w:w="3985"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non-current liabilities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40</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39</w:t>
            </w:r>
          </w:p>
        </w:tc>
      </w:tr>
      <w:tr>
        <w:trPr/>
        <w:tc>
          <w:tcPr>
            <w:tcW w:w="3985"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8" w:space="0" w:color="5A5A5A"/>
              <w:bottom w:val="single" w:sz="4" w:space="0" w:color="5A5A5A"/>
            </w:tcBorders>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r>
      <w:tr>
        <w:trPr/>
        <w:tc>
          <w:tcPr>
            <w:tcW w:w="3985"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Current liabilities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tcBorders>
              <w:top w:val="single" w:sz="8"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Lease liabilities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8"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w:t>
            </w:r>
          </w:p>
        </w:tc>
      </w:tr>
      <w:tr>
        <w:trPr/>
        <w:tc>
          <w:tcPr>
            <w:tcW w:w="398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Trade and other payables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9</w:t>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1,515</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1,267</w:t>
            </w:r>
          </w:p>
        </w:tc>
      </w:tr>
      <w:tr>
        <w:trPr/>
        <w:tc>
          <w:tcPr>
            <w:tcW w:w="398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Tax liabilities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49</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42</w:t>
            </w:r>
          </w:p>
        </w:tc>
      </w:tr>
      <w:tr>
        <w:trPr/>
        <w:tc>
          <w:tcPr>
            <w:tcW w:w="3985"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current liabilities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1,575</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1,320</w:t>
            </w:r>
          </w:p>
        </w:tc>
      </w:tr>
      <w:tr>
        <w:trPr/>
        <w:tc>
          <w:tcPr>
            <w:tcW w:w="3985"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liabilities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1,615</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1,360</w:t>
            </w:r>
          </w:p>
        </w:tc>
      </w:tr>
      <w:tr>
        <w:trPr/>
        <w:tc>
          <w:tcPr>
            <w:tcW w:w="3985"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8" w:space="0" w:color="5A5A5A"/>
              <w:bottom w:val="single" w:sz="4"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equity and liabilities</w:t>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4" w:space="0" w:color="5A5A5A"/>
              <w:bottom w:val="single" w:sz="8" w:space="0" w:color="5A5A5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10,032</w:t>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8,683</w:t>
            </w:r>
          </w:p>
        </w:tc>
      </w:tr>
      <w:tr>
        <w:trPr/>
        <w:tc>
          <w:tcPr>
            <w:tcW w:w="3985"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11"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73"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5"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7"/>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5A5A5A"/>
                <w:sz w:val="13"/>
                <w:u w:val="none"/>
                <w:effect w:val="none"/>
              </w:rPr>
            </w:pPr>
            <w:r>
              <w:rPr>
                <w:rFonts w:ascii="Arial;sans-serif" w:hAnsi="Arial;sans-serif"/>
                <w:b w:val="false"/>
                <w:i w:val="false"/>
                <w:caps w:val="false"/>
                <w:smallCaps w:val="false"/>
                <w:strike w:val="false"/>
                <w:dstrike w:val="false"/>
                <w:color w:val="5A5A5A"/>
                <w:sz w:val="13"/>
                <w:u w:val="none"/>
                <w:effect w:val="none"/>
              </w:rPr>
              <w:t>The accompanying notes form an integral part of these unaudited condensed consolidated interim financial statements.</w:t>
            </w:r>
          </w:p>
        </w:tc>
      </w:tr>
    </w:tbl>
    <w:tbl>
      <w:tblPr>
        <w:tblW w:w="7218" w:type="dxa"/>
        <w:jc w:val="left"/>
        <w:tblInd w:w="0" w:type="dxa"/>
        <w:tblLayout w:type="fixed"/>
        <w:tblCellMar>
          <w:top w:w="28" w:type="dxa"/>
          <w:left w:w="28" w:type="dxa"/>
          <w:bottom w:w="28" w:type="dxa"/>
          <w:right w:w="28" w:type="dxa"/>
        </w:tblCellMar>
      </w:tblPr>
      <w:tblGrid>
        <w:gridCol w:w="2551"/>
        <w:gridCol w:w="4441"/>
        <w:gridCol w:w="226"/>
      </w:tblGrid>
      <w:tr>
        <w:trPr/>
        <w:tc>
          <w:tcPr>
            <w:tcW w:w="25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441" w:type="dxa"/>
            <w:tcBorders>
              <w:right w:val="single" w:sz="8" w:space="0" w:color="0B436E"/>
            </w:tcBorders>
            <w:tcMar>
              <w:top w:w="0" w:type="dxa"/>
              <w:left w:w="0" w:type="dxa"/>
              <w:bottom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Unaudited condensed consolidated interim statements of profit or loss</w:t>
            </w:r>
          </w:p>
        </w:tc>
        <w:tc>
          <w:tcPr>
            <w:tcW w:w="226" w:type="dxa"/>
            <w:tcBorders>
              <w:left w:val="single" w:sz="8" w:space="0" w:color="0B436E"/>
            </w:tcBorders>
            <w:tcMar>
              <w:top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8</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5A5A5A"/>
                  <w:sz w:val="14"/>
                  <w:u w:val="single"/>
                  <w:effect w:val="none"/>
                </w:rPr>
                <w:t>Financial Statements</w:t>
              </w:r>
            </w:hyperlink>
          </w:p>
        </w:tc>
        <w:tc>
          <w:tcPr>
            <w:tcW w:w="466" w:type="dxa"/>
            <w:tcBorders/>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B6B6B6"/>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val="false"/>
          <w:i w:val="false"/>
          <w:caps w:val="false"/>
          <w:smallCaps w:val="false"/>
          <w:strike w:val="false"/>
          <w:dstrike w:val="false"/>
          <w:color w:val="91C353"/>
          <w:sz w:val="40"/>
          <w:u w:val="none"/>
          <w:effect w:val="none"/>
        </w:rPr>
      </w:pPr>
      <w:r>
        <w:rPr>
          <w:rFonts w:ascii="Arial;sans-serif" w:hAnsi="Arial;sans-serif"/>
          <w:b w:val="false"/>
          <w:i w:val="false"/>
          <w:caps w:val="false"/>
          <w:smallCaps w:val="false"/>
          <w:strike w:val="false"/>
          <w:dstrike w:val="false"/>
          <w:color w:val="91C353"/>
          <w:sz w:val="40"/>
          <w:u w:val="none"/>
          <w:effect w:val="none"/>
        </w:rPr>
        <w:t xml:space="preserve">Unaudited condensed consolidated interim </w:t>
      </w:r>
      <w:bookmarkStart w:id="20" w:name="iefdc422d0920404b82069e129ee64e3e"/>
      <w:bookmarkEnd w:id="20"/>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statements of profit or loss</w:t>
      </w:r>
      <w:r>
        <w:rPr>
          <w:caps w:val="false"/>
          <w:smallCaps w:val="false"/>
          <w:strike w:val="false"/>
          <w:dstrike w:val="false"/>
          <w:color w:val="91C353"/>
          <w:sz w:val="40"/>
          <w:u w:val="none"/>
          <w:effect w:val="none"/>
        </w:rPr>
        <w:t xml:space="preserve"> </w:t>
      </w:r>
    </w:p>
    <w:tbl>
      <w:tblPr>
        <w:tblW w:w="7882" w:type="dxa"/>
        <w:jc w:val="left"/>
        <w:tblInd w:w="0" w:type="dxa"/>
        <w:tblLayout w:type="fixed"/>
        <w:tblCellMar>
          <w:top w:w="28" w:type="dxa"/>
          <w:left w:w="28" w:type="dxa"/>
          <w:bottom w:w="28" w:type="dxa"/>
          <w:right w:w="28" w:type="dxa"/>
        </w:tblCellMar>
      </w:tblPr>
      <w:tblGrid>
        <w:gridCol w:w="5086"/>
        <w:gridCol w:w="146"/>
        <w:gridCol w:w="481"/>
        <w:gridCol w:w="146"/>
        <w:gridCol w:w="916"/>
        <w:gridCol w:w="146"/>
        <w:gridCol w:w="96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23" w:type="dxa"/>
            <w:gridSpan w:val="3"/>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Six Months Ended</w:t>
            </w:r>
          </w:p>
        </w:tc>
      </w:tr>
      <w:tr>
        <w:trPr/>
        <w:tc>
          <w:tcPr>
            <w:tcW w:w="50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June 30,</w:t>
            </w:r>
          </w:p>
        </w:tc>
      </w:tr>
      <w:tr>
        <w:trPr/>
        <w:tc>
          <w:tcPr>
            <w:tcW w:w="5086"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 except per share data)</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8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Note</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16"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146" w:type="dxa"/>
            <w:tcBorders>
              <w:top w:val="single" w:sz="8" w:space="0" w:color="5A5A5A"/>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6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2025</w:t>
            </w:r>
          </w:p>
        </w:tc>
      </w:tr>
      <w:tr>
        <w:trPr/>
        <w:tc>
          <w:tcPr>
            <w:tcW w:w="508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 xml:space="preserve">Product net sales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10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2,813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1,739</w:t>
            </w:r>
          </w:p>
        </w:tc>
      </w:tr>
      <w:tr>
        <w:trPr/>
        <w:tc>
          <w:tcPr>
            <w:tcW w:w="508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Other operating income</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41</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36</w:t>
            </w:r>
          </w:p>
        </w:tc>
      </w:tr>
      <w:tr>
        <w:trPr/>
        <w:tc>
          <w:tcPr>
            <w:tcW w:w="508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operating income</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16"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2,854</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6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1,775</w:t>
            </w:r>
          </w:p>
        </w:tc>
      </w:tr>
      <w:tr>
        <w:trPr/>
        <w:tc>
          <w:tcPr>
            <w:tcW w:w="508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Cost of sales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(266)</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(192)</w:t>
            </w:r>
          </w:p>
        </w:tc>
      </w:tr>
      <w:tr>
        <w:trPr/>
        <w:tc>
          <w:tcPr>
            <w:tcW w:w="508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5A5A5A"/>
                <w:sz w:val="16"/>
                <w:u w:val="none"/>
                <w:effect w:val="none"/>
              </w:rPr>
              <w:t>Research and development expenses</w:t>
            </w:r>
            <w:r>
              <w:rPr>
                <w:rFonts w:ascii="Arial;sans-serif" w:hAnsi="Arial;sans-serif"/>
                <w:b w:val="false"/>
                <w:i w:val="false"/>
                <w:caps w:val="false"/>
                <w:smallCaps w:val="false"/>
                <w:strike w:val="false"/>
                <w:dstrike w:val="false"/>
                <w:color w:val="5A5A5A"/>
                <w:sz w:val="10"/>
                <w:u w:val="none"/>
                <w:effect w:val="none"/>
              </w:rPr>
              <w:t>1)</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11</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(929)</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(642)</w:t>
            </w:r>
          </w:p>
        </w:tc>
      </w:tr>
      <w:tr>
        <w:trPr/>
        <w:tc>
          <w:tcPr>
            <w:tcW w:w="508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Selling, general and administrative expenses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12</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(772)</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(601)</w:t>
            </w:r>
          </w:p>
        </w:tc>
      </w:tr>
      <w:tr>
        <w:trPr/>
        <w:tc>
          <w:tcPr>
            <w:tcW w:w="508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operating expenses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(1,967)</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(1,435)</w:t>
            </w:r>
          </w:p>
        </w:tc>
      </w:tr>
      <w:tr>
        <w:trPr/>
        <w:tc>
          <w:tcPr>
            <w:tcW w:w="508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Operating profit</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16"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887</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340</w:t>
            </w:r>
          </w:p>
        </w:tc>
      </w:tr>
      <w:tr>
        <w:trPr/>
        <w:tc>
          <w:tcPr>
            <w:tcW w:w="508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Financial income</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92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76</w:t>
            </w:r>
          </w:p>
        </w:tc>
      </w:tr>
      <w:tr>
        <w:trPr/>
        <w:tc>
          <w:tcPr>
            <w:tcW w:w="508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Financial expense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w:t>
            </w:r>
          </w:p>
        </w:tc>
      </w:tr>
      <w:tr>
        <w:trPr/>
        <w:tc>
          <w:tcPr>
            <w:tcW w:w="508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Exchange (losses)/gains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(19)</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76</w:t>
            </w:r>
          </w:p>
        </w:tc>
      </w:tr>
      <w:tr>
        <w:trPr/>
        <w:tc>
          <w:tcPr>
            <w:tcW w:w="508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Profit for the period before taxes</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16"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$958</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6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$489</w:t>
            </w:r>
          </w:p>
        </w:tc>
      </w:tr>
      <w:tr>
        <w:trPr/>
        <w:tc>
          <w:tcPr>
            <w:tcW w:w="508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Income tax expense</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13</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16"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(119)</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(74)</w:t>
            </w:r>
          </w:p>
        </w:tc>
      </w:tr>
      <w:tr>
        <w:trPr/>
        <w:tc>
          <w:tcPr>
            <w:tcW w:w="508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Profit for the period</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16"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$838</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6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$415</w:t>
            </w:r>
          </w:p>
        </w:tc>
      </w:tr>
      <w:tr>
        <w:trPr/>
        <w:tc>
          <w:tcPr>
            <w:tcW w:w="5086"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Profit for the period attributable to:</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8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Owners of the parent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838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415</w:t>
            </w:r>
          </w:p>
        </w:tc>
      </w:tr>
      <w:tr>
        <w:trPr/>
        <w:tc>
          <w:tcPr>
            <w:tcW w:w="508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Weighted average number of shares used for basic profit per share</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14</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62,185,445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61,034,202</w:t>
            </w:r>
          </w:p>
        </w:tc>
      </w:tr>
      <w:tr>
        <w:trPr/>
        <w:tc>
          <w:tcPr>
            <w:tcW w:w="508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Basic profit per share (in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14</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13.47</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6.80</w:t>
            </w:r>
          </w:p>
        </w:tc>
      </w:tr>
      <w:tr>
        <w:trPr/>
        <w:tc>
          <w:tcPr>
            <w:tcW w:w="508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Weighted average number of shares used for diluted profit per share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14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64,409,488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65,653,007</w:t>
            </w:r>
          </w:p>
        </w:tc>
      </w:tr>
      <w:tr>
        <w:trPr/>
        <w:tc>
          <w:tcPr>
            <w:tcW w:w="508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Diluted profit per share (in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14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13.00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6.32</w:t>
            </w:r>
          </w:p>
        </w:tc>
      </w:tr>
      <w:tr>
        <w:trPr/>
        <w:tc>
          <w:tcPr>
            <w:tcW w:w="5086"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2" w:type="dxa"/>
            <w:gridSpan w:val="7"/>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5A5A5A"/>
                <w:sz w:val="13"/>
                <w:u w:val="none"/>
                <w:effect w:val="none"/>
              </w:rPr>
            </w:pPr>
            <w:r>
              <w:rPr>
                <w:rFonts w:ascii="Arial;sans-serif" w:hAnsi="Arial;sans-serif"/>
                <w:b w:val="false"/>
                <w:i w:val="false"/>
                <w:caps w:val="false"/>
                <w:smallCaps w:val="false"/>
                <w:strike w:val="false"/>
                <w:dstrike w:val="false"/>
                <w:color w:val="5A5A5A"/>
                <w:sz w:val="13"/>
                <w:u w:val="none"/>
                <w:effect w:val="none"/>
              </w:rPr>
              <w:t>The accompanying notes form an integral part of these unaudited condensed consolidated interim financial statements.</w:t>
            </w:r>
          </w:p>
        </w:tc>
      </w:tr>
    </w:tbl>
    <w:p>
      <w:pPr>
        <w:pStyle w:val="TextBody"/>
        <w:bidi w:val="0"/>
        <w:spacing w:lineRule="atLeast" w:line="142" w:before="0" w:after="0"/>
        <w:jc w:val="left"/>
        <w:rPr>
          <w:rFonts w:ascii="Arial;sans-serif" w:hAnsi="Arial;sans-serif"/>
          <w:b w:val="false"/>
          <w:i w:val="false"/>
          <w:caps w:val="false"/>
          <w:smallCaps w:val="false"/>
          <w:strike w:val="false"/>
          <w:dstrike w:val="false"/>
          <w:color w:val="5A5A5A"/>
          <w:sz w:val="13"/>
          <w:u w:val="none"/>
          <w:effect w:val="none"/>
        </w:rPr>
      </w:pPr>
      <w:r>
        <w:rPr>
          <w:rFonts w:ascii="Arial;sans-serif" w:hAnsi="Arial;sans-serif"/>
          <w:b w:val="false"/>
          <w:i w:val="false"/>
          <w:caps w:val="false"/>
          <w:smallCaps w:val="false"/>
          <w:strike w:val="false"/>
          <w:dstrike w:val="false"/>
          <w:color w:val="5A5A5A"/>
          <w:sz w:val="13"/>
          <w:u w:val="none"/>
          <w:effect w:val="none"/>
        </w:rPr>
        <w:t xml:space="preserve">1)Comparative figures have been presented to be consistent with the one adopted in the current period with respect to the combination of research and </w:t>
      </w:r>
    </w:p>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color w:val="5A5A5A"/>
          <w:sz w:val="13"/>
          <w:u w:val="none"/>
          <w:effect w:val="none"/>
        </w:rPr>
        <w:t>development expenses and loss from investment in a joint venture.</w:t>
      </w:r>
      <w:r>
        <w:rPr>
          <w:caps w:val="false"/>
          <w:smallCaps w:val="false"/>
          <w:strike w:val="false"/>
          <w:dstrike w:val="false"/>
          <w:color w:val="5A5A5A"/>
          <w:sz w:val="24"/>
          <w:u w:val="none"/>
          <w:effect w:val="none"/>
        </w:rPr>
        <w:t xml:space="preserve"> </w:t>
      </w:r>
    </w:p>
    <w:tbl>
      <w:tblPr>
        <w:tblW w:w="8313" w:type="dxa"/>
        <w:jc w:val="left"/>
        <w:tblInd w:w="0" w:type="dxa"/>
        <w:tblLayout w:type="fixed"/>
        <w:tblCellMar>
          <w:top w:w="28" w:type="dxa"/>
          <w:left w:w="28" w:type="dxa"/>
          <w:bottom w:w="28" w:type="dxa"/>
          <w:right w:w="28" w:type="dxa"/>
        </w:tblCellMar>
      </w:tblPr>
      <w:tblGrid>
        <w:gridCol w:w="2551"/>
        <w:gridCol w:w="5536"/>
        <w:gridCol w:w="226"/>
      </w:tblGrid>
      <w:tr>
        <w:trPr/>
        <w:tc>
          <w:tcPr>
            <w:tcW w:w="2551" w:type="dxa"/>
            <w:tcBorders/>
            <w:vAlign w:val="center"/>
          </w:tcPr>
          <w:p>
            <w:pPr>
              <w:pStyle w:val="TableContents"/>
              <w:bidi w:val="0"/>
              <w:spacing w:before="0" w:after="283"/>
              <w:jc w:val="left"/>
              <w:rPr>
                <w:sz w:val="4"/>
                <w:szCs w:val="4"/>
              </w:rPr>
            </w:pPr>
            <w:r>
              <w:rPr>
                <w:sz w:val="4"/>
                <w:szCs w:val="4"/>
              </w:rPr>
            </w:r>
          </w:p>
        </w:tc>
        <w:tc>
          <w:tcPr>
            <w:tcW w:w="55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5536" w:type="dxa"/>
            <w:tcBorders>
              <w:right w:val="single" w:sz="8" w:space="0" w:color="0B436E"/>
            </w:tcBorders>
            <w:tcMar>
              <w:top w:w="0" w:type="dxa"/>
              <w:left w:w="0" w:type="dxa"/>
              <w:bottom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Unaudited condensed consolidated interim statements of comprehensive income or loss</w:t>
            </w:r>
          </w:p>
        </w:tc>
        <w:tc>
          <w:tcPr>
            <w:tcW w:w="226" w:type="dxa"/>
            <w:tcBorders>
              <w:left w:val="single" w:sz="8" w:space="0" w:color="0B436E"/>
            </w:tcBorders>
            <w:tcMar>
              <w:top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9</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5A5A5A"/>
                  <w:sz w:val="14"/>
                  <w:u w:val="single"/>
                  <w:effect w:val="none"/>
                </w:rPr>
                <w:t>Financial Statements</w:t>
              </w:r>
            </w:hyperlink>
          </w:p>
        </w:tc>
        <w:tc>
          <w:tcPr>
            <w:tcW w:w="466" w:type="dxa"/>
            <w:tcBorders/>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B6B6B6"/>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val="false"/>
          <w:i w:val="false"/>
          <w:caps w:val="false"/>
          <w:smallCaps w:val="false"/>
          <w:strike w:val="false"/>
          <w:dstrike w:val="false"/>
          <w:color w:val="91C353"/>
          <w:sz w:val="40"/>
          <w:u w:val="none"/>
          <w:effect w:val="none"/>
        </w:rPr>
      </w:pPr>
      <w:r>
        <w:rPr>
          <w:rFonts w:ascii="Arial;sans-serif" w:hAnsi="Arial;sans-serif"/>
          <w:b w:val="false"/>
          <w:i w:val="false"/>
          <w:caps w:val="false"/>
          <w:smallCaps w:val="false"/>
          <w:strike w:val="false"/>
          <w:dstrike w:val="false"/>
          <w:color w:val="91C353"/>
          <w:sz w:val="40"/>
          <w:u w:val="none"/>
          <w:effect w:val="none"/>
        </w:rPr>
        <w:t xml:space="preserve">Unaudited condensed consolidated interim </w:t>
      </w:r>
      <w:bookmarkStart w:id="21" w:name="i6487e50ebe9144499120e2ce6ec2dc1b"/>
      <w:bookmarkEnd w:id="21"/>
    </w:p>
    <w:p>
      <w:pPr>
        <w:pStyle w:val="TextBody"/>
        <w:bidi w:val="0"/>
        <w:spacing w:lineRule="atLeast" w:line="400" w:before="0" w:after="0"/>
        <w:jc w:val="left"/>
        <w:rPr>
          <w:rFonts w:ascii="Arial;sans-serif" w:hAnsi="Arial;sans-serif"/>
          <w:b w:val="false"/>
          <w:i w:val="false"/>
          <w:caps w:val="false"/>
          <w:smallCaps w:val="false"/>
          <w:strike w:val="false"/>
          <w:dstrike w:val="false"/>
          <w:color w:val="91C353"/>
          <w:sz w:val="40"/>
          <w:u w:val="none"/>
          <w:effect w:val="none"/>
        </w:rPr>
      </w:pPr>
      <w:r>
        <w:rPr>
          <w:rFonts w:ascii="Arial;sans-serif" w:hAnsi="Arial;sans-serif"/>
          <w:b w:val="false"/>
          <w:i w:val="false"/>
          <w:caps w:val="false"/>
          <w:smallCaps w:val="false"/>
          <w:strike w:val="false"/>
          <w:dstrike w:val="false"/>
          <w:color w:val="91C353"/>
          <w:sz w:val="40"/>
          <w:u w:val="none"/>
          <w:effect w:val="none"/>
        </w:rPr>
        <w:t>statements of comprehensive income or loss</w:t>
      </w:r>
    </w:p>
    <w:tbl>
      <w:tblPr>
        <w:tblW w:w="8018" w:type="dxa"/>
        <w:jc w:val="left"/>
        <w:tblInd w:w="0" w:type="dxa"/>
        <w:tblLayout w:type="fixed"/>
        <w:tblCellMar>
          <w:top w:w="28" w:type="dxa"/>
          <w:left w:w="28" w:type="dxa"/>
          <w:bottom w:w="28" w:type="dxa"/>
          <w:right w:w="28" w:type="dxa"/>
        </w:tblCellMar>
      </w:tblPr>
      <w:tblGrid>
        <w:gridCol w:w="5656"/>
        <w:gridCol w:w="146"/>
        <w:gridCol w:w="481"/>
        <w:gridCol w:w="146"/>
        <w:gridCol w:w="660"/>
        <w:gridCol w:w="206"/>
        <w:gridCol w:w="723"/>
      </w:tblGrid>
      <w:tr>
        <w:trPr/>
        <w:tc>
          <w:tcPr>
            <w:tcW w:w="5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56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Six Months Ended</w:t>
            </w:r>
          </w:p>
        </w:tc>
      </w:tr>
      <w:tr>
        <w:trPr/>
        <w:tc>
          <w:tcPr>
            <w:tcW w:w="56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June 30,</w:t>
            </w:r>
          </w:p>
        </w:tc>
      </w:tr>
      <w:tr>
        <w:trPr/>
        <w:tc>
          <w:tcPr>
            <w:tcW w:w="5656"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Note</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60"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206" w:type="dxa"/>
            <w:tcBorders>
              <w:top w:val="single" w:sz="8" w:space="0" w:color="5A5A5A"/>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23"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2025</w:t>
            </w:r>
          </w:p>
        </w:tc>
      </w:tr>
      <w:tr>
        <w:trPr/>
        <w:tc>
          <w:tcPr>
            <w:tcW w:w="5656"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Profit for the period</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60"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838</w:t>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415</w:t>
            </w:r>
          </w:p>
        </w:tc>
      </w:tr>
      <w:tr>
        <w:trPr/>
        <w:tc>
          <w:tcPr>
            <w:tcW w:w="565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Items that may be reclassified subsequently to profit or loss, net of tax</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Currency translation differences, arisen from translating foreign activities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w:t>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w:t>
            </w:r>
          </w:p>
        </w:tc>
      </w:tr>
      <w:tr>
        <w:trPr/>
        <w:tc>
          <w:tcPr>
            <w:tcW w:w="565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Items that will not be reclassified subsequently to profit or loss, net of tax</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 xml:space="preserve">Fair value (loss) or gain on investments in equity instruments designated as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 xml:space="preserve">FVTOCI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(10)</w:t>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w:t>
            </w:r>
          </w:p>
        </w:tc>
      </w:tr>
      <w:tr>
        <w:trPr/>
        <w:tc>
          <w:tcPr>
            <w:tcW w:w="565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Other comprehensive income/(loss), net of income tax</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(11)</w:t>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12</w:t>
            </w:r>
          </w:p>
        </w:tc>
      </w:tr>
      <w:tr>
        <w:trPr/>
        <w:tc>
          <w:tcPr>
            <w:tcW w:w="565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comprehensive income/(loss) attributable to:</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723"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656"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Owners of the parent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827</w:t>
            </w:r>
          </w:p>
        </w:tc>
        <w:tc>
          <w:tcPr>
            <w:tcW w:w="206" w:type="dxa"/>
            <w:tcBorders>
              <w:bottom w:val="single" w:sz="4" w:space="0" w:color="5A5A5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426</w:t>
            </w:r>
          </w:p>
        </w:tc>
      </w:tr>
      <w:tr>
        <w:trPr/>
        <w:tc>
          <w:tcPr>
            <w:tcW w:w="5656"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0"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8" w:type="dxa"/>
            <w:gridSpan w:val="7"/>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3"/>
                <w:u w:val="none"/>
                <w:effect w:val="none"/>
              </w:rPr>
            </w:pPr>
            <w:r>
              <w:rPr>
                <w:rFonts w:ascii="Arial;sans-serif" w:hAnsi="Arial;sans-serif"/>
                <w:b w:val="false"/>
                <w:i w:val="false"/>
                <w:caps w:val="false"/>
                <w:smallCaps w:val="false"/>
                <w:strike w:val="false"/>
                <w:dstrike w:val="false"/>
                <w:color w:val="000000"/>
                <w:sz w:val="13"/>
                <w:u w:val="none"/>
                <w:effect w:val="none"/>
              </w:rPr>
              <w:t>The accompanying notes form an integral part of these unaudited condensed consolidated interim financial statements.</w:t>
            </w:r>
          </w:p>
        </w:tc>
      </w:tr>
    </w:tbl>
    <w:tbl>
      <w:tblPr>
        <w:tblW w:w="7173" w:type="dxa"/>
        <w:jc w:val="left"/>
        <w:tblInd w:w="0" w:type="dxa"/>
        <w:tblLayout w:type="fixed"/>
        <w:tblCellMar>
          <w:top w:w="28" w:type="dxa"/>
          <w:left w:w="28" w:type="dxa"/>
          <w:bottom w:w="28" w:type="dxa"/>
          <w:right w:w="28" w:type="dxa"/>
        </w:tblCellMar>
      </w:tblPr>
      <w:tblGrid>
        <w:gridCol w:w="2551"/>
        <w:gridCol w:w="4321"/>
        <w:gridCol w:w="301"/>
      </w:tblGrid>
      <w:tr>
        <w:trPr/>
        <w:tc>
          <w:tcPr>
            <w:tcW w:w="2551"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321" w:type="dxa"/>
            <w:tcBorders>
              <w:right w:val="single" w:sz="8" w:space="0" w:color="0B436E"/>
            </w:tcBorders>
            <w:tcMar>
              <w:top w:w="0" w:type="dxa"/>
              <w:left w:w="0" w:type="dxa"/>
              <w:bottom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Unaudited condensed consolidated interim statements of cash flows</w:t>
            </w:r>
          </w:p>
        </w:tc>
        <w:tc>
          <w:tcPr>
            <w:tcW w:w="301" w:type="dxa"/>
            <w:tcBorders>
              <w:left w:val="single" w:sz="8" w:space="0" w:color="0B436E"/>
            </w:tcBorders>
            <w:tcMar>
              <w:top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10</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5A5A5A"/>
                  <w:sz w:val="14"/>
                  <w:u w:val="single"/>
                  <w:effect w:val="none"/>
                </w:rPr>
                <w:t>Financial Statements</w:t>
              </w:r>
            </w:hyperlink>
          </w:p>
        </w:tc>
        <w:tc>
          <w:tcPr>
            <w:tcW w:w="466" w:type="dxa"/>
            <w:tcBorders/>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B6B6B6"/>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val="false"/>
          <w:i w:val="false"/>
          <w:caps w:val="false"/>
          <w:smallCaps w:val="false"/>
          <w:strike w:val="false"/>
          <w:dstrike w:val="false"/>
          <w:color w:val="91C353"/>
          <w:sz w:val="40"/>
          <w:u w:val="none"/>
          <w:effect w:val="none"/>
        </w:rPr>
      </w:pPr>
      <w:r>
        <w:rPr>
          <w:rFonts w:ascii="Arial;sans-serif" w:hAnsi="Arial;sans-serif"/>
          <w:b w:val="false"/>
          <w:i w:val="false"/>
          <w:caps w:val="false"/>
          <w:smallCaps w:val="false"/>
          <w:strike w:val="false"/>
          <w:dstrike w:val="false"/>
          <w:color w:val="91C353"/>
          <w:sz w:val="40"/>
          <w:u w:val="none"/>
          <w:effect w:val="none"/>
        </w:rPr>
        <w:t xml:space="preserve">Unaudited condensed consolidated interim </w:t>
      </w:r>
      <w:bookmarkStart w:id="22" w:name="i68e0e4fad8b640baa0ffa593b592388a"/>
      <w:bookmarkEnd w:id="22"/>
    </w:p>
    <w:p>
      <w:pPr>
        <w:pStyle w:val="TextBody"/>
        <w:bidi w:val="0"/>
        <w:spacing w:lineRule="atLeast" w:line="400" w:before="0" w:after="0"/>
        <w:jc w:val="left"/>
        <w:rPr>
          <w:rFonts w:ascii="Arial;sans-serif" w:hAnsi="Arial;sans-serif"/>
          <w:b w:val="false"/>
          <w:i w:val="false"/>
          <w:caps w:val="false"/>
          <w:smallCaps w:val="false"/>
          <w:strike w:val="false"/>
          <w:dstrike w:val="false"/>
          <w:color w:val="91C353"/>
          <w:sz w:val="40"/>
          <w:u w:val="none"/>
          <w:effect w:val="none"/>
        </w:rPr>
      </w:pPr>
      <w:r>
        <w:rPr>
          <w:rFonts w:ascii="Arial;sans-serif" w:hAnsi="Arial;sans-serif"/>
          <w:b w:val="false"/>
          <w:i w:val="false"/>
          <w:caps w:val="false"/>
          <w:smallCaps w:val="false"/>
          <w:strike w:val="false"/>
          <w:dstrike w:val="false"/>
          <w:color w:val="91C353"/>
          <w:sz w:val="40"/>
          <w:u w:val="none"/>
          <w:effect w:val="none"/>
        </w:rPr>
        <w:t>statements of cash flows</w:t>
      </w:r>
    </w:p>
    <w:tbl>
      <w:tblPr>
        <w:tblW w:w="8168" w:type="dxa"/>
        <w:jc w:val="left"/>
        <w:tblInd w:w="0" w:type="dxa"/>
        <w:tblLayout w:type="fixed"/>
        <w:tblCellMar>
          <w:top w:w="28" w:type="dxa"/>
          <w:left w:w="28" w:type="dxa"/>
          <w:bottom w:w="28" w:type="dxa"/>
          <w:right w:w="28" w:type="dxa"/>
        </w:tblCellMar>
      </w:tblPr>
      <w:tblGrid>
        <w:gridCol w:w="5806"/>
        <w:gridCol w:w="146"/>
        <w:gridCol w:w="481"/>
        <w:gridCol w:w="146"/>
        <w:gridCol w:w="690"/>
        <w:gridCol w:w="159"/>
        <w:gridCol w:w="740"/>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Six Months Ended</w:t>
            </w:r>
          </w:p>
        </w:tc>
      </w:tr>
      <w:tr>
        <w:trPr/>
        <w:tc>
          <w:tcPr>
            <w:tcW w:w="5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June 30,</w:t>
            </w:r>
          </w:p>
        </w:tc>
      </w:tr>
      <w:tr>
        <w:trPr/>
        <w:tc>
          <w:tcPr>
            <w:tcW w:w="5806"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Note</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159" w:type="dxa"/>
            <w:tcBorders>
              <w:top w:val="single" w:sz="8" w:space="0" w:color="5A5A5A"/>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sz w:val="24"/>
              </w:rPr>
            </w:pPr>
            <w:r>
              <w:rPr>
                <w:rFonts w:ascii="Arial;sans-serif" w:hAnsi="Arial;sans-serif"/>
                <w:b/>
                <w:i w:val="false"/>
                <w:caps w:val="false"/>
                <w:smallCaps w:val="false"/>
                <w:strike w:val="false"/>
                <w:dstrike w:val="false"/>
                <w:color w:val="5A5A5A"/>
                <w:sz w:val="16"/>
                <w:u w:val="none"/>
                <w:effect w:val="none"/>
              </w:rPr>
              <w:t>2025</w:t>
            </w:r>
            <w:r>
              <w:rPr>
                <w:rFonts w:ascii="Arial;sans-serif" w:hAnsi="Arial;sans-serif"/>
                <w:b/>
                <w:i w:val="false"/>
                <w:caps w:val="false"/>
                <w:smallCaps w:val="false"/>
                <w:strike w:val="false"/>
                <w:dstrike w:val="false"/>
                <w:color w:val="5A5A5A"/>
                <w:sz w:val="10"/>
                <w:u w:val="none"/>
                <w:effect w:val="none"/>
              </w:rPr>
              <w:t>1)</w:t>
            </w:r>
          </w:p>
        </w:tc>
      </w:tr>
      <w:tr>
        <w:trPr/>
        <w:tc>
          <w:tcPr>
            <w:tcW w:w="5806"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Operating profit</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887</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340</w:t>
            </w:r>
          </w:p>
        </w:tc>
      </w:tr>
      <w:tr>
        <w:trPr/>
        <w:tc>
          <w:tcPr>
            <w:tcW w:w="580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Adjustments for non-cash items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Amortization of intangible assets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9</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Depreciation of property, plant and equipment</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Provisions for employee benefits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Expense recognized in respect of share-based payments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8</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117</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111</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Fair value gains on financial assets at fair value through profit or loss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5A5A5A"/>
                <w:sz w:val="16"/>
                <w:u w:val="none"/>
                <w:effect w:val="none"/>
              </w:rPr>
              <w:t>Other non-cash expenses/(benefit)</w:t>
            </w:r>
            <w:r>
              <w:rPr>
                <w:rFonts w:ascii="Arial;sans-serif" w:hAnsi="Arial;sans-serif"/>
                <w:b w:val="false"/>
                <w:i w:val="false"/>
                <w:caps w:val="false"/>
                <w:smallCaps w:val="false"/>
                <w:strike w:val="false"/>
                <w:dstrike w:val="false"/>
                <w:color w:val="5A5A5A"/>
                <w:sz w:val="10"/>
                <w:u w:val="none"/>
                <w:effect w:val="none"/>
              </w:rPr>
              <w:t>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48</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36</w:t>
            </w:r>
          </w:p>
        </w:tc>
      </w:tr>
      <w:tr>
        <w:trPr/>
        <w:tc>
          <w:tcPr>
            <w:tcW w:w="580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1,073</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500</w:t>
            </w:r>
          </w:p>
        </w:tc>
      </w:tr>
      <w:tr>
        <w:trPr/>
        <w:tc>
          <w:tcPr>
            <w:tcW w:w="580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Movements in current assets/liabilities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(Increase)/decrease in trade and other receivables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4</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(377)</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(360)</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(Increase)/decrease in inventories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60</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35</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5A5A5A"/>
                <w:sz w:val="16"/>
                <w:u w:val="none"/>
                <w:effect w:val="none"/>
              </w:rPr>
              <w:t>(Increase)/decrease in current prepaid expenses</w:t>
            </w:r>
            <w:r>
              <w:rPr>
                <w:rFonts w:ascii="Arial;sans-serif" w:hAnsi="Arial;sans-serif"/>
                <w:b w:val="false"/>
                <w:i w:val="false"/>
                <w:caps w:val="false"/>
                <w:smallCaps w:val="false"/>
                <w:strike w:val="false"/>
                <w:dstrike w:val="false"/>
                <w:color w:val="5A5A5A"/>
                <w:sz w:val="10"/>
                <w:u w:val="none"/>
                <w:effect w:val="none"/>
              </w:rPr>
              <w:t>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(244)</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(174)</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5A5A5A"/>
                <w:sz w:val="16"/>
                <w:u w:val="none"/>
                <w:effect w:val="none"/>
              </w:rPr>
              <w:t>(Increase)/decrease in other current assets</w:t>
            </w:r>
            <w:r>
              <w:rPr>
                <w:rFonts w:ascii="Arial;sans-serif" w:hAnsi="Arial;sans-serif"/>
                <w:b w:val="false"/>
                <w:i w:val="false"/>
                <w:caps w:val="false"/>
                <w:smallCaps w:val="false"/>
                <w:strike w:val="false"/>
                <w:dstrike w:val="false"/>
                <w:color w:val="5A5A5A"/>
                <w:sz w:val="10"/>
                <w:u w:val="none"/>
                <w:effect w:val="none"/>
              </w:rPr>
              <w:t>1)</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Increase/(decrease) in trade and other payables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9</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251</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360</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Movements in non-current assets/liabilities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(Increase)/decrease in other non</w:t>
              <w:noBreakHyphen/>
              <w:t>current assets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(Increase)/decrease in non-current prepaid expense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r>
      <w:tr>
        <w:trPr/>
        <w:tc>
          <w:tcPr>
            <w:tcW w:w="580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Net cash flows from operating activities, before interest and taxes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778</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372</w:t>
            </w:r>
          </w:p>
        </w:tc>
      </w:tr>
      <w:tr>
        <w:trPr/>
        <w:tc>
          <w:tcPr>
            <w:tcW w:w="580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Interest paid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Income taxes paid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13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(127)</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(10)</w:t>
            </w:r>
          </w:p>
        </w:tc>
      </w:tr>
      <w:tr>
        <w:trPr/>
        <w:tc>
          <w:tcPr>
            <w:tcW w:w="580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Net cash flows from operating activities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651</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362</w:t>
            </w:r>
          </w:p>
        </w:tc>
      </w:tr>
      <w:tr>
        <w:trPr/>
        <w:tc>
          <w:tcPr>
            <w:tcW w:w="580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Purchase of intangible assets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(44)</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Purchase of property, plant and equipment</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Purchase of other non-current assets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(84)</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Purchase of current financial assets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(1,650)</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(1,109)</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Sale of current financial assets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988</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1,154</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Interest received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100</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73</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Investment in a joint venture</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w:t>
            </w:r>
          </w:p>
        </w:tc>
      </w:tr>
      <w:tr>
        <w:trPr/>
        <w:tc>
          <w:tcPr>
            <w:tcW w:w="580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Net cash flows (used in)/from investing activities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(658)</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62</w:t>
            </w:r>
          </w:p>
        </w:tc>
      </w:tr>
      <w:tr>
        <w:trPr/>
        <w:tc>
          <w:tcPr>
            <w:tcW w:w="580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Principal elements of lease payments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Payment of employee withholding taxes relating to restricted stock unit awards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w:t>
            </w:r>
          </w:p>
        </w:tc>
      </w:tr>
      <w:tr>
        <w:trPr/>
        <w:tc>
          <w:tcPr>
            <w:tcW w:w="580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Proceeds from exercise of stock options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0"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119</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79</w:t>
            </w:r>
          </w:p>
        </w:tc>
      </w:tr>
      <w:tr>
        <w:trPr/>
        <w:tc>
          <w:tcPr>
            <w:tcW w:w="580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Net cash flows from financing activities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104</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73</w:t>
            </w:r>
          </w:p>
        </w:tc>
      </w:tr>
      <w:tr>
        <w:trPr/>
        <w:tc>
          <w:tcPr>
            <w:tcW w:w="5806"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Increase in cash and cash equivalents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97</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498</w:t>
            </w:r>
          </w:p>
        </w:tc>
      </w:tr>
      <w:tr>
        <w:trPr/>
        <w:tc>
          <w:tcPr>
            <w:tcW w:w="5806"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Cash and cash equivalents at the beginning of the period</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5A5A5A"/>
                <w:sz w:val="16"/>
                <w:u w:val="single"/>
              </w:rPr>
            </w:pPr>
            <w:r>
              <w:rPr>
                <w:rFonts w:ascii="Arial;sans-serif" w:hAnsi="Arial;sans-serif"/>
                <w:b/>
                <w:i w:val="false"/>
                <w:caps w:val="false"/>
                <w:smallCaps w:val="false"/>
                <w:color w:val="5A5A5A"/>
                <w:sz w:val="16"/>
                <w:u w:val="single"/>
              </w:rPr>
              <w:t>6</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3,491</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1,500</w:t>
            </w:r>
          </w:p>
        </w:tc>
      </w:tr>
      <w:tr>
        <w:trPr/>
        <w:tc>
          <w:tcPr>
            <w:tcW w:w="5806"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Exchange (losses)/gains on cash and cash equivalents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88</w:t>
            </w:r>
          </w:p>
        </w:tc>
      </w:tr>
      <w:tr>
        <w:trPr/>
        <w:tc>
          <w:tcPr>
            <w:tcW w:w="5806"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Cash and cash equivalents at the end of the period</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48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color w:val="6D6D6D"/>
                <w:sz w:val="16"/>
                <w:u w:val="single"/>
              </w:rPr>
            </w:pPr>
            <w:r>
              <w:rPr>
                <w:rFonts w:ascii="Arial;sans-serif" w:hAnsi="Arial;sans-serif"/>
                <w:b/>
                <w:i w:val="false"/>
                <w:caps w:val="false"/>
                <w:smallCaps w:val="false"/>
                <w:color w:val="6D6D6D"/>
                <w:sz w:val="16"/>
                <w:u w:val="single"/>
              </w:rPr>
              <w:t>6</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90"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3,584</w:t>
            </w:r>
          </w:p>
        </w:tc>
        <w:tc>
          <w:tcPr>
            <w:tcW w:w="15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40"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2,086</w:t>
            </w:r>
          </w:p>
        </w:tc>
      </w:tr>
      <w:tr>
        <w:trPr/>
        <w:tc>
          <w:tcPr>
            <w:tcW w:w="5806"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40"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8" w:type="dxa"/>
            <w:gridSpan w:val="7"/>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5A5A5A"/>
                <w:sz w:val="13"/>
                <w:u w:val="none"/>
                <w:effect w:val="none"/>
              </w:rPr>
            </w:pPr>
            <w:r>
              <w:rPr>
                <w:rFonts w:ascii="Arial;sans-serif" w:hAnsi="Arial;sans-serif"/>
                <w:b w:val="false"/>
                <w:i w:val="false"/>
                <w:caps w:val="false"/>
                <w:smallCaps w:val="false"/>
                <w:strike w:val="false"/>
                <w:dstrike w:val="false"/>
                <w:color w:val="5A5A5A"/>
                <w:sz w:val="13"/>
                <w:u w:val="none"/>
                <w:effect w:val="none"/>
              </w:rPr>
              <w:t>The accompanying notes form an integral part of these unaudited condensed consolidated interim financial statements.</w:t>
            </w:r>
          </w:p>
        </w:tc>
      </w:tr>
    </w:tbl>
    <w:p>
      <w:pPr>
        <w:pStyle w:val="TextBody"/>
        <w:bidi w:val="0"/>
        <w:spacing w:lineRule="atLeast" w:line="142" w:before="0" w:after="0"/>
        <w:jc w:val="left"/>
        <w:rPr>
          <w:rFonts w:ascii="Arial;sans-serif" w:hAnsi="Arial;sans-serif"/>
          <w:b w:val="false"/>
          <w:i w:val="false"/>
          <w:caps w:val="false"/>
          <w:smallCaps w:val="false"/>
          <w:strike w:val="false"/>
          <w:dstrike w:val="false"/>
          <w:color w:val="5A5A5A"/>
          <w:sz w:val="13"/>
          <w:u w:val="none"/>
          <w:effect w:val="none"/>
        </w:rPr>
      </w:pPr>
      <w:r>
        <w:rPr>
          <w:rFonts w:ascii="Arial;sans-serif" w:hAnsi="Arial;sans-serif"/>
          <w:b w:val="false"/>
          <w:i w:val="false"/>
          <w:caps w:val="false"/>
          <w:smallCaps w:val="false"/>
          <w:strike w:val="false"/>
          <w:dstrike w:val="false"/>
          <w:color w:val="5A5A5A"/>
          <w:sz w:val="13"/>
          <w:u w:val="none"/>
          <w:effect w:val="none"/>
        </w:rPr>
        <w:t xml:space="preserve">1)Comparative figures have been presented to be consistent with the one adopted in the current period </w:t>
      </w:r>
    </w:p>
    <w:tbl>
      <w:tblPr>
        <w:tblW w:w="7608" w:type="dxa"/>
        <w:jc w:val="left"/>
        <w:tblInd w:w="0" w:type="dxa"/>
        <w:tblLayout w:type="fixed"/>
        <w:tblCellMar>
          <w:top w:w="28" w:type="dxa"/>
          <w:left w:w="28" w:type="dxa"/>
          <w:bottom w:w="28" w:type="dxa"/>
          <w:right w:w="28" w:type="dxa"/>
        </w:tblCellMar>
      </w:tblPr>
      <w:tblGrid>
        <w:gridCol w:w="2551"/>
        <w:gridCol w:w="4756"/>
        <w:gridCol w:w="301"/>
      </w:tblGrid>
      <w:tr>
        <w:trPr/>
        <w:tc>
          <w:tcPr>
            <w:tcW w:w="2551"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756" w:type="dxa"/>
            <w:tcBorders>
              <w:right w:val="single" w:sz="8" w:space="0" w:color="0B436E"/>
            </w:tcBorders>
            <w:tcMar>
              <w:top w:w="0" w:type="dxa"/>
              <w:left w:w="0" w:type="dxa"/>
              <w:bottom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Unaudited condensed consolidated interim statements of changes in equity</w:t>
            </w:r>
          </w:p>
        </w:tc>
        <w:tc>
          <w:tcPr>
            <w:tcW w:w="301" w:type="dxa"/>
            <w:tcBorders>
              <w:left w:val="single" w:sz="8" w:space="0" w:color="0B436E"/>
            </w:tcBorders>
            <w:tcMar>
              <w:top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11</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5A5A5A"/>
                  <w:sz w:val="14"/>
                  <w:u w:val="single"/>
                  <w:effect w:val="none"/>
                </w:rPr>
                <w:t>Financial Statements</w:t>
              </w:r>
            </w:hyperlink>
          </w:p>
        </w:tc>
        <w:tc>
          <w:tcPr>
            <w:tcW w:w="466" w:type="dxa"/>
            <w:tcBorders/>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B6B6B6"/>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Arial;sans-serif" w:hAnsi="Arial;sans-serif"/>
          <w:b w:val="false"/>
          <w:i w:val="false"/>
          <w:caps w:val="false"/>
          <w:smallCaps w:val="false"/>
          <w:strike w:val="false"/>
          <w:dstrike w:val="false"/>
          <w:color w:val="91C353"/>
          <w:sz w:val="40"/>
          <w:u w:val="none"/>
          <w:effect w:val="none"/>
        </w:rPr>
      </w:pPr>
      <w:r>
        <w:rPr>
          <w:rFonts w:ascii="Arial;sans-serif" w:hAnsi="Arial;sans-serif"/>
          <w:b w:val="false"/>
          <w:i w:val="false"/>
          <w:caps w:val="false"/>
          <w:smallCaps w:val="false"/>
          <w:strike w:val="false"/>
          <w:dstrike w:val="false"/>
          <w:color w:val="91C353"/>
          <w:sz w:val="40"/>
          <w:u w:val="none"/>
          <w:effect w:val="none"/>
        </w:rPr>
        <w:t>Unaudited condensed consolidated interim statements of changes in equity</w:t>
      </w:r>
      <w:bookmarkStart w:id="23" w:name="icf8dc6f4ad024b50937ae69e073599f9"/>
      <w:bookmarkEnd w:id="23"/>
    </w:p>
    <w:tbl>
      <w:tblPr>
        <w:tblW w:w="10205" w:type="dxa"/>
        <w:jc w:val="left"/>
        <w:tblInd w:w="0" w:type="dxa"/>
        <w:tblLayout w:type="fixed"/>
        <w:tblCellMar>
          <w:top w:w="28" w:type="dxa"/>
          <w:left w:w="28" w:type="dxa"/>
          <w:bottom w:w="28" w:type="dxa"/>
          <w:right w:w="28" w:type="dxa"/>
        </w:tblCellMar>
      </w:tblPr>
      <w:tblGrid>
        <w:gridCol w:w="1560"/>
        <w:gridCol w:w="146"/>
        <w:gridCol w:w="657"/>
        <w:gridCol w:w="146"/>
        <w:gridCol w:w="811"/>
        <w:gridCol w:w="146"/>
        <w:gridCol w:w="1188"/>
        <w:gridCol w:w="146"/>
        <w:gridCol w:w="1008"/>
        <w:gridCol w:w="109"/>
        <w:gridCol w:w="1102"/>
        <w:gridCol w:w="109"/>
        <w:gridCol w:w="1078"/>
        <w:gridCol w:w="146"/>
        <w:gridCol w:w="1034"/>
        <w:gridCol w:w="146"/>
        <w:gridCol w:w="673"/>
      </w:tblGrid>
      <w:tr>
        <w:trPr/>
        <w:tc>
          <w:tcPr>
            <w:tcW w:w="1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5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99" w:type="dxa"/>
            <w:gridSpan w:val="15"/>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Attributable to owners of the parent</w:t>
            </w:r>
          </w:p>
        </w:tc>
      </w:tr>
      <w:tr>
        <w:trPr/>
        <w:tc>
          <w:tcPr>
            <w:tcW w:w="1560"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Share capital</w:t>
            </w:r>
          </w:p>
        </w:tc>
        <w:tc>
          <w:tcPr>
            <w:tcW w:w="146"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Share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premium</w:t>
            </w:r>
          </w:p>
        </w:tc>
        <w:tc>
          <w:tcPr>
            <w:tcW w:w="146"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Retained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earnings/</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(accumulated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losses)</w:t>
            </w:r>
          </w:p>
        </w:tc>
        <w:tc>
          <w:tcPr>
            <w:tcW w:w="146" w:type="dxa"/>
            <w:tcBorders>
              <w:top w:val="single" w:sz="8" w:space="0" w:color="5A5A5A"/>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008"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Translation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differences</w:t>
            </w:r>
          </w:p>
        </w:tc>
        <w:tc>
          <w:tcPr>
            <w:tcW w:w="109"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Share-based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payment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income tax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deduction on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share-based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payments</w:t>
            </w:r>
          </w:p>
        </w:tc>
        <w:tc>
          <w:tcPr>
            <w:tcW w:w="109"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Fair value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movement on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investment in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equity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instruments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designated as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FVTOCI</w:t>
            </w:r>
          </w:p>
        </w:tc>
        <w:tc>
          <w:tcPr>
            <w:tcW w:w="146" w:type="dxa"/>
            <w:tcBorders>
              <w:top w:val="single" w:sz="8" w:space="0" w:color="5A5A5A"/>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034"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Total equity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attributable to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owners of the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parent</w:t>
            </w:r>
          </w:p>
        </w:tc>
        <w:tc>
          <w:tcPr>
            <w:tcW w:w="146"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equity</w:t>
            </w:r>
          </w:p>
        </w:tc>
      </w:tr>
      <w:tr>
        <w:trPr/>
        <w:tc>
          <w:tcPr>
            <w:tcW w:w="1560"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Balance on January 1, 2025</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57"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5,949</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(1,572)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1,047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5,498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3"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5,498</w:t>
            </w:r>
          </w:p>
        </w:tc>
      </w:tr>
      <w:tr>
        <w:trPr/>
        <w:tc>
          <w:tcPr>
            <w:tcW w:w="1560"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Profit for the period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3"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415</w:t>
            </w:r>
          </w:p>
        </w:tc>
      </w:tr>
      <w:tr>
        <w:trPr/>
        <w:tc>
          <w:tcPr>
            <w:tcW w:w="156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Other comprehensive income or loss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12</w:t>
            </w:r>
          </w:p>
        </w:tc>
      </w:tr>
      <w:tr>
        <w:trPr/>
        <w:tc>
          <w:tcPr>
            <w:tcW w:w="1560"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comprehensive income for the period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415</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00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426</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73"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426</w:t>
            </w:r>
          </w:p>
        </w:tc>
      </w:tr>
      <w:tr>
        <w:trPr/>
        <w:tc>
          <w:tcPr>
            <w:tcW w:w="1560"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 xml:space="preserve">Income tax benefit from excess tax deductions related to share-based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payments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(17)</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3"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(17)</w:t>
            </w:r>
          </w:p>
        </w:tc>
      </w:tr>
      <w:tr>
        <w:trPr/>
        <w:tc>
          <w:tcPr>
            <w:tcW w:w="156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Share-based payments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57"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111</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7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111</w:t>
            </w:r>
          </w:p>
        </w:tc>
      </w:tr>
      <w:tr>
        <w:trPr/>
        <w:tc>
          <w:tcPr>
            <w:tcW w:w="156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 xml:space="preserve">Exercise of stock options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57"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81</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7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81</w:t>
            </w:r>
          </w:p>
        </w:tc>
      </w:tr>
      <w:tr>
        <w:trPr/>
        <w:tc>
          <w:tcPr>
            <w:tcW w:w="156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Ordinary shares withheld for payment of employees’ withholding tax liability</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w:t>
            </w:r>
          </w:p>
        </w:tc>
      </w:tr>
      <w:tr>
        <w:trPr/>
        <w:tc>
          <w:tcPr>
            <w:tcW w:w="1560"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Balance on June 30, 2025</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57"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81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6,026</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18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(1,157)</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00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1,141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(55)</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034"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6,096</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73"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6,096</w:t>
            </w:r>
          </w:p>
        </w:tc>
      </w:tr>
      <w:tr>
        <w:trPr/>
        <w:tc>
          <w:tcPr>
            <w:tcW w:w="1560"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3"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Balance on January 1, 2026</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81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6,187</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18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(280)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1,335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(65)</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034"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7,323</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73"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7,323</w:t>
            </w:r>
          </w:p>
        </w:tc>
      </w:tr>
      <w:tr>
        <w:trPr/>
        <w:tc>
          <w:tcPr>
            <w:tcW w:w="1560"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Profit for the period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838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838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3"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838</w:t>
            </w:r>
          </w:p>
        </w:tc>
      </w:tr>
      <w:tr>
        <w:trPr/>
        <w:tc>
          <w:tcPr>
            <w:tcW w:w="156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Other comprehensive income or loss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w:t>
            </w:r>
          </w:p>
        </w:tc>
      </w:tr>
      <w:tr>
        <w:trPr/>
        <w:tc>
          <w:tcPr>
            <w:tcW w:w="1560"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comprehensive income for the period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838</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00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827</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73"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827</w:t>
            </w:r>
          </w:p>
        </w:tc>
      </w:tr>
      <w:tr>
        <w:trPr/>
        <w:tc>
          <w:tcPr>
            <w:tcW w:w="1560"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 xml:space="preserve">Income tax benefit from excess tax deductions related to share-based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payments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3"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28</w:t>
            </w:r>
          </w:p>
        </w:tc>
      </w:tr>
      <w:tr>
        <w:trPr/>
        <w:tc>
          <w:tcPr>
            <w:tcW w:w="156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Share-based payments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57"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117</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7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117</w:t>
            </w:r>
          </w:p>
        </w:tc>
      </w:tr>
      <w:tr>
        <w:trPr/>
        <w:tc>
          <w:tcPr>
            <w:tcW w:w="156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 xml:space="preserve">Exercise of stock options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57"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129</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129</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7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129</w:t>
            </w:r>
          </w:p>
        </w:tc>
      </w:tr>
      <w:tr>
        <w:trPr/>
        <w:tc>
          <w:tcPr>
            <w:tcW w:w="1560"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Ordinary shares withheld for payment of employees’ withholding tax liability</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3"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w:t>
            </w:r>
          </w:p>
        </w:tc>
      </w:tr>
      <w:tr>
        <w:trPr/>
        <w:tc>
          <w:tcPr>
            <w:tcW w:w="1560"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Balance on June 30, 2026</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57"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81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6,308</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18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558</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00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1,481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(75)</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034"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8,417</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673"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8,417</w:t>
            </w:r>
          </w:p>
        </w:tc>
      </w:tr>
      <w:tr>
        <w:trPr/>
        <w:tc>
          <w:tcPr>
            <w:tcW w:w="1560"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7"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2"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4"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3"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7"/>
            <w:tcBorders/>
            <w:shd w:fill="FFFFFF" w:val="cle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5A5A5A"/>
                <w:sz w:val="13"/>
                <w:u w:val="none"/>
                <w:effect w:val="none"/>
              </w:rPr>
              <w:t>Please refer to ‘‘</w:t>
            </w:r>
            <w:r>
              <w:rPr>
                <w:rFonts w:ascii="Arial;sans-serif" w:hAnsi="Arial;sans-serif"/>
                <w:b/>
                <w:i w:val="false"/>
                <w:caps w:val="false"/>
                <w:smallCaps w:val="false"/>
                <w:color w:val="5A5A5A"/>
                <w:sz w:val="13"/>
                <w:u w:val="single"/>
              </w:rPr>
              <w:t>Note 7</w:t>
            </w:r>
            <w:r>
              <w:rPr>
                <w:caps w:val="false"/>
                <w:smallCaps w:val="false"/>
                <w:color w:val="5A5A5A"/>
                <w:sz w:val="24"/>
                <w:u w:val="single"/>
              </w:rPr>
              <w:t xml:space="preserve"> </w:t>
            </w:r>
            <w:r>
              <w:rPr>
                <w:rFonts w:ascii="Arial;sans-serif" w:hAnsi="Arial;sans-serif"/>
                <w:b/>
                <w:i w:val="false"/>
                <w:caps w:val="false"/>
                <w:smallCaps w:val="false"/>
                <w:color w:val="5A5A5A"/>
                <w:sz w:val="13"/>
                <w:u w:val="single"/>
              </w:rPr>
              <w:t>Share capital and share premium</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3"/>
                <w:u w:val="none"/>
                <w:effect w:val="none"/>
              </w:rPr>
              <w:t xml:space="preserve">for more information on the share capital. Share capital exercise amounts are rounded to zero in the statement.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5A5A5A"/>
                <w:sz w:val="13"/>
                <w:u w:val="none"/>
                <w:effect w:val="none"/>
              </w:rPr>
            </w:pPr>
            <w:r>
              <w:rPr>
                <w:rFonts w:ascii="Arial;sans-serif" w:hAnsi="Arial;sans-serif"/>
                <w:b w:val="false"/>
                <w:i w:val="false"/>
                <w:caps w:val="false"/>
                <w:smallCaps w:val="false"/>
                <w:strike w:val="false"/>
                <w:dstrike w:val="false"/>
                <w:color w:val="5A5A5A"/>
                <w:sz w:val="13"/>
                <w:u w:val="none"/>
                <w:effect w:val="none"/>
              </w:rPr>
              <w:t>The accompanying notes form an integral part of these unaudited condensed consolidated interim financial statements.</w:t>
            </w:r>
          </w:p>
        </w:tc>
      </w:tr>
    </w:tbl>
    <w:tbl>
      <w:tblPr>
        <w:tblW w:w="7698" w:type="dxa"/>
        <w:jc w:val="left"/>
        <w:tblInd w:w="0" w:type="dxa"/>
        <w:tblLayout w:type="fixed"/>
        <w:tblCellMar>
          <w:top w:w="28" w:type="dxa"/>
          <w:left w:w="28" w:type="dxa"/>
          <w:bottom w:w="28" w:type="dxa"/>
          <w:right w:w="28" w:type="dxa"/>
        </w:tblCellMar>
      </w:tblPr>
      <w:tblGrid>
        <w:gridCol w:w="2551"/>
        <w:gridCol w:w="4846"/>
        <w:gridCol w:w="301"/>
      </w:tblGrid>
      <w:tr>
        <w:trPr/>
        <w:tc>
          <w:tcPr>
            <w:tcW w:w="2551"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8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 xml:space="preserve">Notes to the unaudited condensed consolidated interim financial statements </w:t>
            </w:r>
          </w:p>
        </w:tc>
        <w:tc>
          <w:tcPr>
            <w:tcW w:w="3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12</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single"/>
                  <w:effect w:val="none"/>
                </w:rPr>
                <w:t>Financial Statements</w:t>
              </w:r>
            </w:hyperlink>
          </w:p>
        </w:tc>
        <w:tc>
          <w:tcPr>
            <w:tcW w:w="4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5A5A5A"/>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560" w:before="0" w:after="0"/>
        <w:jc w:val="left"/>
        <w:rPr>
          <w:rFonts w:ascii="Arial;sans-serif" w:hAnsi="Arial;sans-serif"/>
          <w:b w:val="false"/>
          <w:i w:val="false"/>
          <w:caps w:val="false"/>
          <w:smallCaps w:val="false"/>
          <w:strike w:val="false"/>
          <w:dstrike w:val="false"/>
          <w:color w:val="91C353"/>
          <w:sz w:val="56"/>
          <w:u w:val="none"/>
          <w:effect w:val="none"/>
        </w:rPr>
      </w:pPr>
      <w:r>
        <w:rPr>
          <w:rFonts w:ascii="Arial;sans-serif" w:hAnsi="Arial;sans-serif"/>
          <w:b w:val="false"/>
          <w:i w:val="false"/>
          <w:caps w:val="false"/>
          <w:smallCaps w:val="false"/>
          <w:strike w:val="false"/>
          <w:dstrike w:val="false"/>
          <w:color w:val="91C353"/>
          <w:sz w:val="56"/>
          <w:u w:val="none"/>
          <w:effect w:val="none"/>
        </w:rPr>
        <w:t xml:space="preserve">Notes to the unaudited condensed </w:t>
      </w:r>
      <w:bookmarkStart w:id="24" w:name="i347721faed9d422da57e5beccd17d533"/>
      <w:bookmarkEnd w:id="24"/>
    </w:p>
    <w:p>
      <w:pPr>
        <w:pStyle w:val="TextBody"/>
        <w:bidi w:val="0"/>
        <w:spacing w:lineRule="atLeast" w:line="560" w:before="0" w:after="0"/>
        <w:jc w:val="left"/>
        <w:rPr>
          <w:rFonts w:ascii="Arial;sans-serif" w:hAnsi="Arial;sans-serif"/>
          <w:b w:val="false"/>
          <w:i w:val="false"/>
          <w:caps w:val="false"/>
          <w:smallCaps w:val="false"/>
          <w:strike w:val="false"/>
          <w:dstrike w:val="false"/>
          <w:color w:val="91C353"/>
          <w:sz w:val="56"/>
          <w:u w:val="none"/>
          <w:effect w:val="none"/>
        </w:rPr>
      </w:pPr>
      <w:r>
        <w:rPr>
          <w:rFonts w:ascii="Arial;sans-serif" w:hAnsi="Arial;sans-serif"/>
          <w:b w:val="false"/>
          <w:i w:val="false"/>
          <w:caps w:val="false"/>
          <w:smallCaps w:val="false"/>
          <w:strike w:val="false"/>
          <w:dstrike w:val="false"/>
          <w:color w:val="91C353"/>
          <w:sz w:val="56"/>
          <w:u w:val="none"/>
          <w:effect w:val="none"/>
        </w:rPr>
        <w:t xml:space="preserve">consolidated interim financial </w:t>
      </w:r>
    </w:p>
    <w:p>
      <w:pPr>
        <w:pStyle w:val="TextBody"/>
        <w:bidi w:val="0"/>
        <w:spacing w:lineRule="atLeast" w:line="560" w:before="0" w:after="0"/>
        <w:jc w:val="left"/>
        <w:rPr>
          <w:rFonts w:ascii="Arial;sans-serif" w:hAnsi="Arial;sans-serif"/>
          <w:b w:val="false"/>
          <w:i w:val="false"/>
          <w:caps w:val="false"/>
          <w:smallCaps w:val="false"/>
          <w:strike w:val="false"/>
          <w:dstrike w:val="false"/>
          <w:color w:val="91C353"/>
          <w:sz w:val="56"/>
          <w:u w:val="none"/>
          <w:effect w:val="none"/>
        </w:rPr>
      </w:pPr>
      <w:r>
        <w:rPr>
          <w:rFonts w:ascii="Arial;sans-serif" w:hAnsi="Arial;sans-serif"/>
          <w:b w:val="false"/>
          <w:i w:val="false"/>
          <w:caps w:val="false"/>
          <w:smallCaps w:val="false"/>
          <w:strike w:val="false"/>
          <w:dstrike w:val="false"/>
          <w:color w:val="91C353"/>
          <w:sz w:val="56"/>
          <w:u w:val="none"/>
          <w:effect w:val="none"/>
        </w:rPr>
        <w:t xml:space="preserve">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1</w:t>
      </w:r>
      <w:bookmarkStart w:id="25" w:name="i824619a601464f8f88c5e16249500c29"/>
      <w:bookmarkEnd w:id="25"/>
      <w:r>
        <w:rPr>
          <w:rFonts w:ascii="Arial;sans-serif" w:hAnsi="Arial;sans-serif"/>
          <w:b w:val="false"/>
          <w:i w:val="false"/>
          <w:caps w:val="false"/>
          <w:smallCaps w:val="false"/>
          <w:strike w:val="false"/>
          <w:dstrike w:val="false"/>
          <w:color w:val="91C353"/>
          <w:sz w:val="40"/>
          <w:u w:val="none"/>
          <w:effect w:val="none"/>
        </w:rPr>
        <w:t>General information about the Company</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argenx SE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(‘‘the Company’’) is a Dutch European public company with limited liability incorporated under the laws of</w:t>
      </w:r>
      <w:r>
        <w:rPr>
          <w:caps w:val="false"/>
          <w:smallCaps w:val="false"/>
          <w:strike w:val="false"/>
          <w:dstrike w:val="false"/>
          <w:color w:val="5A5A5A"/>
          <w:sz w:val="24"/>
          <w:u w:val="none"/>
          <w:effect w:val="none"/>
        </w:rPr>
        <w:t xml:space="preserv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the Netherlands. The Company (COC 24435214) has its official seat in Amsterdam, the Netherlands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and its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registered office is at Laarderhoogtweg 25, 1101 EB Amsterdam, the Netherlands.</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argenx SE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is a publicly traded company with ordinary shares listed on Euronext Brussels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under the symbol  “ARGX</w:t>
      </w:r>
      <w:r>
        <w:rPr>
          <w:caps w:val="false"/>
          <w:smallCaps w:val="false"/>
          <w:strike w:val="false"/>
          <w:dstrike w:val="false"/>
          <w:color w:val="5A5A5A"/>
          <w:sz w:val="24"/>
          <w:u w:val="none"/>
          <w:effect w:val="none"/>
        </w:rPr>
        <w:t xml:space="preserv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since July 2014 and with American Depositary Shares listed on Nasdaq</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under the symbol “ARGX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since May</w:t>
      </w:r>
      <w:r>
        <w:rPr>
          <w:caps w:val="false"/>
          <w:smallCaps w:val="false"/>
          <w:strike w:val="false"/>
          <w:dstrike w:val="false"/>
          <w:color w:val="5A5A5A"/>
          <w:sz w:val="24"/>
          <w:u w:val="none"/>
          <w:effect w:val="none"/>
        </w:rPr>
        <w:t> </w:t>
      </w:r>
      <w:r>
        <w:rPr>
          <w:rFonts w:ascii="Arial;sans-serif" w:hAnsi="Arial;sans-serif"/>
          <w:b w:val="false"/>
          <w:i w:val="false"/>
          <w:caps w:val="false"/>
          <w:smallCaps w:val="false"/>
          <w:strike w:val="false"/>
          <w:dstrike w:val="false"/>
          <w:color w:val="5A5A5A"/>
          <w:sz w:val="18"/>
          <w:u w:val="none"/>
          <w:effect w:val="none"/>
        </w:rPr>
        <w:t>2017.</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unaudited condensed consolidated financial statements have been approved for issue by the Company’s Board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of Directors (the “Board”) on July 21,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2</w:t>
      </w:r>
      <w:bookmarkStart w:id="26" w:name="i58145abcaafa48e7989f6d9d42fef3d4"/>
      <w:bookmarkEnd w:id="26"/>
      <w:r>
        <w:rPr>
          <w:rFonts w:ascii="Arial;sans-serif" w:hAnsi="Arial;sans-serif"/>
          <w:b w:val="false"/>
          <w:i w:val="false"/>
          <w:caps w:val="false"/>
          <w:smallCaps w:val="false"/>
          <w:strike w:val="false"/>
          <w:dstrike w:val="false"/>
          <w:color w:val="91C353"/>
          <w:sz w:val="40"/>
          <w:u w:val="none"/>
          <w:effect w:val="none"/>
        </w:rPr>
        <w:t xml:space="preserve">Basis of preparation and changes to the </w:t>
      </w:r>
    </w:p>
    <w:p>
      <w:pPr>
        <w:pStyle w:val="TextBody"/>
        <w:bidi w:val="0"/>
        <w:spacing w:lineRule="atLeast" w:line="400" w:before="0" w:after="0"/>
        <w:jc w:val="left"/>
        <w:rPr>
          <w:rFonts w:ascii="Arial;sans-serif" w:hAnsi="Arial;sans-serif"/>
          <w:b w:val="false"/>
          <w:i w:val="false"/>
          <w:caps w:val="false"/>
          <w:smallCaps w:val="false"/>
          <w:strike w:val="false"/>
          <w:dstrike w:val="false"/>
          <w:color w:val="91C353"/>
          <w:sz w:val="40"/>
          <w:u w:val="none"/>
          <w:effect w:val="none"/>
        </w:rPr>
      </w:pPr>
      <w:r>
        <w:rPr>
          <w:rFonts w:ascii="Arial;sans-serif" w:hAnsi="Arial;sans-serif"/>
          <w:b w:val="false"/>
          <w:i w:val="false"/>
          <w:caps w:val="false"/>
          <w:smallCaps w:val="false"/>
          <w:strike w:val="false"/>
          <w:dstrike w:val="false"/>
          <w:color w:val="91C353"/>
          <w:sz w:val="40"/>
          <w:u w:val="none"/>
          <w:effect w:val="none"/>
        </w:rPr>
        <w:t>Company's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0"/>
        <w:jc w:val="left"/>
        <w:rPr>
          <w:sz w:val="30"/>
        </w:rPr>
      </w:pPr>
      <w:r>
        <w:rPr>
          <w:rFonts w:ascii="Arial;sans-serif" w:hAnsi="Arial;sans-serif"/>
          <w:b w:val="false"/>
          <w:i w:val="false"/>
          <w:caps w:val="false"/>
          <w:smallCaps w:val="false"/>
          <w:strike w:val="false"/>
          <w:dstrike w:val="false"/>
          <w:color w:val="91C353"/>
          <w:sz w:val="30"/>
          <w:u w:val="none"/>
          <w:effect w:val="none"/>
        </w:rPr>
        <w:t xml:space="preserve">2.1. </w:t>
      </w:r>
      <w:bookmarkStart w:id="27" w:name="ic468863b802f497d9e9862e46df58dd6"/>
      <w:bookmarkEnd w:id="27"/>
      <w:r>
        <w:rPr>
          <w:rFonts w:ascii="Arial;sans-serif" w:hAnsi="Arial;sans-serif"/>
          <w:b w:val="false"/>
          <w:i w:val="false"/>
          <w:caps w:val="false"/>
          <w:smallCaps w:val="false"/>
          <w:strike w:val="false"/>
          <w:dstrike w:val="false"/>
          <w:color w:val="91C353"/>
          <w:sz w:val="30"/>
          <w:u w:val="none"/>
          <w:effect w:val="none"/>
        </w:rPr>
        <w:t>Basis of preparation</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The unaudited condensed consolidated interim financial statements for the six 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have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 xml:space="preserve">been prepared in accordance with IAS 34 </w:t>
      </w:r>
      <w:r>
        <w:rPr>
          <w:rFonts w:ascii="Arial;sans-serif" w:hAnsi="Arial;sans-serif"/>
          <w:b w:val="false"/>
          <w:i/>
          <w:strike w:val="false"/>
          <w:dstrike w:val="false"/>
          <w:color w:val="5A5A5A"/>
          <w:sz w:val="18"/>
          <w:u w:val="none"/>
          <w:effect w:val="none"/>
        </w:rPr>
        <w:t>Interim Financial Reporting</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under IFRS</w:t>
      </w:r>
      <w:r>
        <w:rPr>
          <w:rFonts w:ascii="Arial;sans-serif" w:hAnsi="Arial;sans-serif"/>
          <w:b w:val="false"/>
          <w:i w:val="false"/>
          <w:caps w:val="false"/>
          <w:smallCaps w:val="false"/>
          <w:strike w:val="false"/>
          <w:dstrike w:val="false"/>
          <w:color w:val="5A5A5A"/>
          <w:sz w:val="12"/>
          <w:u w:val="none"/>
          <w:effect w:val="none"/>
        </w:rPr>
        <w:t>®</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Accounting Standards (IFRS) as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adopted by the European Union (EU-IFRS). The unaudited condensed consolidated interim financial statements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should be read in conjunction with the annual consolidated financial statements for the year ended December 31,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2025.</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All amounts herein are presented in millions of US dollars ($), unless otherwise indicated, rounded to the nearest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million. Due to rounding, amounts presented may not add up precisely to the totals shown.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0"/>
        <w:jc w:val="left"/>
        <w:rPr>
          <w:sz w:val="30"/>
        </w:rPr>
      </w:pPr>
      <w:r>
        <w:rPr>
          <w:rFonts w:ascii="Arial;sans-serif" w:hAnsi="Arial;sans-serif"/>
          <w:b w:val="false"/>
          <w:i w:val="false"/>
          <w:caps w:val="false"/>
          <w:smallCaps w:val="false"/>
          <w:strike w:val="false"/>
          <w:dstrike w:val="false"/>
          <w:color w:val="91C353"/>
          <w:sz w:val="30"/>
          <w:u w:val="none"/>
          <w:effect w:val="none"/>
        </w:rPr>
        <w:t xml:space="preserve">2.2. </w:t>
      </w:r>
      <w:bookmarkStart w:id="28" w:name="i80947aaa557e4c359d4fa91393a5b653"/>
      <w:bookmarkEnd w:id="28"/>
      <w:r>
        <w:rPr>
          <w:rFonts w:ascii="Arial;sans-serif" w:hAnsi="Arial;sans-serif"/>
          <w:b w:val="false"/>
          <w:i w:val="false"/>
          <w:caps w:val="false"/>
          <w:smallCaps w:val="false"/>
          <w:strike w:val="false"/>
          <w:dstrike w:val="false"/>
          <w:color w:val="91C353"/>
          <w:sz w:val="30"/>
          <w:u w:val="none"/>
          <w:effect w:val="none"/>
        </w:rPr>
        <w:t xml:space="preserve">New standards, interpretations and amendments adopted by the </w:t>
      </w:r>
    </w:p>
    <w:p>
      <w:pPr>
        <w:pStyle w:val="TextBody"/>
        <w:bidi w:val="0"/>
        <w:spacing w:lineRule="atLeast" w:line="300" w:before="0" w:after="0"/>
        <w:jc w:val="left"/>
        <w:rPr>
          <w:rFonts w:ascii="Arial;sans-serif" w:hAnsi="Arial;sans-serif"/>
          <w:b w:val="false"/>
          <w:i w:val="false"/>
          <w:caps w:val="false"/>
          <w:smallCaps w:val="false"/>
          <w:strike w:val="false"/>
          <w:dstrike w:val="false"/>
          <w:color w:val="91C353"/>
          <w:sz w:val="30"/>
          <w:u w:val="none"/>
          <w:effect w:val="none"/>
        </w:rPr>
      </w:pPr>
      <w:r>
        <w:rPr>
          <w:rFonts w:ascii="Arial;sans-serif" w:hAnsi="Arial;sans-serif"/>
          <w:b w:val="false"/>
          <w:i w:val="false"/>
          <w:caps w:val="false"/>
          <w:smallCaps w:val="false"/>
          <w:strike w:val="false"/>
          <w:dstrike w:val="false"/>
          <w:color w:val="91C353"/>
          <w:sz w:val="30"/>
          <w:u w:val="none"/>
          <w:effect w:val="none"/>
        </w:rPr>
        <w:t>Company</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accounting policies adopted in the preparation of the unaudited interim condensed consolidated financial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statements are consistent with those followed in the preparation of the Company’s annual consolidated financial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statements for the year ended December 31, 2025, except for the adoption of new standards effective as of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January 1, 2026. The Company has not early adopted any standards, interpretation or amendment that has been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issued but is not yet effective.</w:t>
      </w:r>
    </w:p>
    <w:tbl>
      <w:tblPr>
        <w:tblW w:w="7698" w:type="dxa"/>
        <w:jc w:val="left"/>
        <w:tblInd w:w="0" w:type="dxa"/>
        <w:tblLayout w:type="fixed"/>
        <w:tblCellMar>
          <w:top w:w="28" w:type="dxa"/>
          <w:left w:w="28" w:type="dxa"/>
          <w:bottom w:w="28" w:type="dxa"/>
          <w:right w:w="28" w:type="dxa"/>
        </w:tblCellMar>
      </w:tblPr>
      <w:tblGrid>
        <w:gridCol w:w="2551"/>
        <w:gridCol w:w="4846"/>
        <w:gridCol w:w="301"/>
      </w:tblGrid>
      <w:tr>
        <w:trPr/>
        <w:tc>
          <w:tcPr>
            <w:tcW w:w="2551"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8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 xml:space="preserve">Notes to the unaudited condensed consolidated interim financial statements </w:t>
            </w:r>
          </w:p>
        </w:tc>
        <w:tc>
          <w:tcPr>
            <w:tcW w:w="3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13</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single"/>
                  <w:effect w:val="none"/>
                </w:rPr>
                <w:t>Financial Statements</w:t>
              </w:r>
            </w:hyperlink>
          </w:p>
        </w:tc>
        <w:tc>
          <w:tcPr>
            <w:tcW w:w="4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5A5A5A"/>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0"/>
        <w:jc w:val="left"/>
        <w:rPr>
          <w:rFonts w:ascii="Arial;sans-serif" w:hAnsi="Arial;sans-serif"/>
          <w:b w:val="false"/>
          <w:i w:val="false"/>
          <w:caps w:val="false"/>
          <w:smallCaps w:val="false"/>
          <w:strike w:val="false"/>
          <w:dstrike w:val="false"/>
          <w:color w:val="91C353"/>
          <w:sz w:val="24"/>
          <w:u w:val="none"/>
          <w:effect w:val="none"/>
        </w:rPr>
      </w:pPr>
      <w:r>
        <w:rPr>
          <w:rFonts w:ascii="Arial;sans-serif" w:hAnsi="Arial;sans-serif"/>
          <w:b w:val="false"/>
          <w:i w:val="false"/>
          <w:caps w:val="false"/>
          <w:smallCaps w:val="false"/>
          <w:strike w:val="false"/>
          <w:dstrike w:val="false"/>
          <w:color w:val="91C353"/>
          <w:sz w:val="24"/>
          <w:u w:val="none"/>
          <w:effect w:val="none"/>
        </w:rPr>
        <w:t xml:space="preserve">Classification and Measurement of Financial Instruments - Amendments to IFRS 9 and </w:t>
      </w:r>
      <w:bookmarkStart w:id="29" w:name="i6e2127990aae4a7f8fda7ceee08bc673"/>
      <w:bookmarkEnd w:id="29"/>
    </w:p>
    <w:p>
      <w:pPr>
        <w:pStyle w:val="TextBody"/>
        <w:bidi w:val="0"/>
        <w:spacing w:lineRule="atLeast" w:line="240" w:before="0" w:after="0"/>
        <w:jc w:val="left"/>
        <w:rPr>
          <w:rFonts w:ascii="Arial;sans-serif" w:hAnsi="Arial;sans-serif"/>
          <w:b w:val="false"/>
          <w:i w:val="false"/>
          <w:caps w:val="false"/>
          <w:smallCaps w:val="false"/>
          <w:strike w:val="false"/>
          <w:dstrike w:val="false"/>
          <w:color w:val="91C353"/>
          <w:sz w:val="24"/>
          <w:u w:val="none"/>
          <w:effect w:val="none"/>
        </w:rPr>
      </w:pPr>
      <w:r>
        <w:rPr>
          <w:rFonts w:ascii="Arial;sans-serif" w:hAnsi="Arial;sans-serif"/>
          <w:b w:val="false"/>
          <w:i w:val="false"/>
          <w:caps w:val="false"/>
          <w:smallCaps w:val="false"/>
          <w:strike w:val="false"/>
          <w:dstrike w:val="false"/>
          <w:color w:val="91C353"/>
          <w:sz w:val="24"/>
          <w:u w:val="none"/>
          <w:effect w:val="none"/>
        </w:rPr>
        <w:t>IFRS 7</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Issued in May 2024 and effective as of January 1, 2026, the amendments address matters identified during the post-</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implementation review of the classification and measurement requirements of IFRS 9 Financial Instruments. The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amendments had no material impact on the Company’s interim condensed financial statements.</w:t>
      </w:r>
    </w:p>
    <w:p>
      <w:pPr>
        <w:pStyle w:val="TextBody"/>
        <w:bidi w:val="0"/>
        <w:spacing w:lineRule="atLeast" w:line="240" w:before="0" w:after="0"/>
        <w:jc w:val="left"/>
        <w:rPr>
          <w:rFonts w:ascii="Arial;sans-serif" w:hAnsi="Arial;sans-serif"/>
          <w:b w:val="false"/>
          <w:i w:val="false"/>
          <w:caps w:val="false"/>
          <w:smallCaps w:val="false"/>
          <w:strike w:val="false"/>
          <w:dstrike w:val="false"/>
          <w:color w:val="91C353"/>
          <w:sz w:val="24"/>
          <w:u w:val="none"/>
          <w:effect w:val="none"/>
        </w:rPr>
      </w:pPr>
      <w:r>
        <w:rPr>
          <w:rFonts w:ascii="Arial;sans-serif" w:hAnsi="Arial;sans-serif"/>
          <w:b w:val="false"/>
          <w:i w:val="false"/>
          <w:caps w:val="false"/>
          <w:smallCaps w:val="false"/>
          <w:strike w:val="false"/>
          <w:dstrike w:val="false"/>
          <w:color w:val="91C353"/>
          <w:sz w:val="24"/>
          <w:u w:val="none"/>
          <w:effect w:val="none"/>
        </w:rPr>
        <w:t xml:space="preserve">Annual Improvements to IFRS accounting Standards – Volume 11 </w:t>
      </w:r>
      <w:bookmarkStart w:id="30" w:name="idb4d9c31c95e4220a1644267a45137cc"/>
      <w:bookmarkEnd w:id="30"/>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Issued in July 2024 and effective as of January 1, 2026, the volume contains amendments to five standards as result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of the IASB's annual improvements project. The amendments had no material impact on the Company’s interim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3</w:t>
      </w:r>
      <w:bookmarkStart w:id="31" w:name="ifb6f8da9b8a74827907e8ba3eab4b5e9"/>
      <w:bookmarkEnd w:id="31"/>
      <w:r>
        <w:rPr>
          <w:rFonts w:ascii="Arial;sans-serif" w:hAnsi="Arial;sans-serif"/>
          <w:b w:val="false"/>
          <w:i w:val="false"/>
          <w:caps w:val="false"/>
          <w:smallCaps w:val="false"/>
          <w:strike w:val="false"/>
          <w:dstrike w:val="false"/>
          <w:color w:val="91C353"/>
          <w:sz w:val="40"/>
          <w:u w:val="none"/>
          <w:effect w:val="none"/>
        </w:rPr>
        <w:t>Inventories</w:t>
      </w:r>
    </w:p>
    <w:tbl>
      <w:tblPr>
        <w:tblW w:w="5695" w:type="dxa"/>
        <w:jc w:val="left"/>
        <w:tblInd w:w="0" w:type="dxa"/>
        <w:tblLayout w:type="fixed"/>
        <w:tblCellMar>
          <w:top w:w="28" w:type="dxa"/>
          <w:left w:w="28" w:type="dxa"/>
          <w:bottom w:w="28" w:type="dxa"/>
          <w:right w:w="28" w:type="dxa"/>
        </w:tblCellMar>
      </w:tblPr>
      <w:tblGrid>
        <w:gridCol w:w="2491"/>
        <w:gridCol w:w="146"/>
        <w:gridCol w:w="1231"/>
        <w:gridCol w:w="146"/>
        <w:gridCol w:w="168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 of June 30,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 of December 31,</w:t>
            </w:r>
          </w:p>
        </w:tc>
      </w:tr>
      <w:tr>
        <w:trPr/>
        <w:tc>
          <w:tcPr>
            <w:tcW w:w="249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31"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68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2025</w:t>
            </w:r>
          </w:p>
        </w:tc>
      </w:tr>
      <w:tr>
        <w:trPr/>
        <w:tc>
          <w:tcPr>
            <w:tcW w:w="249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Raw materials and consumables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252</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6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336</w:t>
            </w:r>
          </w:p>
        </w:tc>
      </w:tr>
      <w:tr>
        <w:trPr/>
        <w:tc>
          <w:tcPr>
            <w:tcW w:w="249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Inventories in process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56</w:t>
            </w:r>
          </w:p>
        </w:tc>
      </w:tr>
      <w:tr>
        <w:trPr/>
        <w:tc>
          <w:tcPr>
            <w:tcW w:w="249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Finished goods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82</w:t>
            </w:r>
          </w:p>
        </w:tc>
      </w:tr>
      <w:tr>
        <w:trPr/>
        <w:tc>
          <w:tcPr>
            <w:tcW w:w="249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inventories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31"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371</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6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474</w:t>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cost of inventories, which is recognized under “Cost of sales” on the unaudited condensed consolidated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statements of profit or loss, amounted to $114</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 for the six 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(compared to $119</w:t>
      </w:r>
      <w:r>
        <w:rPr>
          <w:caps w:val="false"/>
          <w:smallCaps w:val="false"/>
          <w:strike w:val="false"/>
          <w:dstrike w:val="false"/>
          <w:color w:val="5A5A5A"/>
          <w:sz w:val="24"/>
          <w:u w:val="none"/>
          <w:effect w:val="none"/>
        </w:rPr>
        <w:t xml:space="preserv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million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4</w:t>
      </w:r>
      <w:bookmarkStart w:id="32" w:name="i5961a578f86548aa9ea1afa373f4a30c"/>
      <w:bookmarkEnd w:id="32"/>
      <w:r>
        <w:rPr>
          <w:rFonts w:ascii="Arial;sans-serif" w:hAnsi="Arial;sans-serif"/>
          <w:b w:val="false"/>
          <w:i w:val="false"/>
          <w:caps w:val="false"/>
          <w:smallCaps w:val="false"/>
          <w:strike w:val="false"/>
          <w:dstrike w:val="false"/>
          <w:color w:val="91C353"/>
          <w:sz w:val="40"/>
          <w:u w:val="none"/>
          <w:effect w:val="none"/>
        </w:rPr>
        <w:t>Trade and other receivables</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Trade and other receivables are composed of receivables which are detailed below:</w:t>
      </w:r>
    </w:p>
    <w:tbl>
      <w:tblPr>
        <w:tblW w:w="5920" w:type="dxa"/>
        <w:jc w:val="left"/>
        <w:tblInd w:w="0" w:type="dxa"/>
        <w:tblLayout w:type="fixed"/>
        <w:tblCellMar>
          <w:top w:w="28" w:type="dxa"/>
          <w:left w:w="28" w:type="dxa"/>
          <w:bottom w:w="28" w:type="dxa"/>
          <w:right w:w="28" w:type="dxa"/>
        </w:tblCellMar>
      </w:tblPr>
      <w:tblGrid>
        <w:gridCol w:w="2716"/>
        <w:gridCol w:w="146"/>
        <w:gridCol w:w="1231"/>
        <w:gridCol w:w="146"/>
        <w:gridCol w:w="168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 of June 30,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 of December 31,</w:t>
            </w:r>
          </w:p>
        </w:tc>
      </w:tr>
      <w:tr>
        <w:trPr/>
        <w:tc>
          <w:tcPr>
            <w:tcW w:w="2716"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31"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68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2025</w:t>
            </w:r>
          </w:p>
        </w:tc>
      </w:tr>
      <w:tr>
        <w:trPr/>
        <w:tc>
          <w:tcPr>
            <w:tcW w:w="271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Trade receivables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1,832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1,490</w:t>
            </w:r>
          </w:p>
        </w:tc>
      </w:tr>
      <w:tr>
        <w:trPr/>
        <w:tc>
          <w:tcPr>
            <w:tcW w:w="271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Tax receivables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123</w:t>
            </w:r>
          </w:p>
        </w:tc>
      </w:tr>
      <w:tr>
        <w:trPr/>
        <w:tc>
          <w:tcPr>
            <w:tcW w:w="271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Interest receivables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34</w:t>
            </w:r>
          </w:p>
        </w:tc>
      </w:tr>
      <w:tr>
        <w:trPr/>
        <w:tc>
          <w:tcPr>
            <w:tcW w:w="271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Other receivables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r>
      <w:tr>
        <w:trPr/>
        <w:tc>
          <w:tcPr>
            <w:tcW w:w="271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trade and other receivables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31"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1,931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1,647</w:t>
            </w:r>
          </w:p>
        </w:tc>
      </w:tr>
    </w:tbl>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The carrying amounts of trade and other receivables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approximate their respective fair values. On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and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December 31, 2025, the Company did not have a material provision for expected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5</w:t>
      </w:r>
      <w:bookmarkStart w:id="33" w:name="id34b91556a074da68a718e89f45002fc"/>
      <w:bookmarkEnd w:id="33"/>
      <w:r>
        <w:rPr>
          <w:rFonts w:ascii="Arial;sans-serif" w:hAnsi="Arial;sans-serif"/>
          <w:b w:val="false"/>
          <w:i w:val="false"/>
          <w:caps w:val="false"/>
          <w:smallCaps w:val="false"/>
          <w:strike w:val="false"/>
          <w:dstrike w:val="false"/>
          <w:color w:val="91C353"/>
          <w:sz w:val="40"/>
          <w:u w:val="none"/>
          <w:effect w:val="none"/>
        </w:rPr>
        <w:t>Financial assets - Current</w:t>
      </w:r>
    </w:p>
    <w:tbl>
      <w:tblPr>
        <w:tblW w:w="5620" w:type="dxa"/>
        <w:jc w:val="left"/>
        <w:tblInd w:w="0" w:type="dxa"/>
        <w:tblLayout w:type="fixed"/>
        <w:tblCellMar>
          <w:top w:w="28" w:type="dxa"/>
          <w:left w:w="28" w:type="dxa"/>
          <w:bottom w:w="28" w:type="dxa"/>
          <w:right w:w="28" w:type="dxa"/>
        </w:tblCellMar>
      </w:tblPr>
      <w:tblGrid>
        <w:gridCol w:w="2416"/>
        <w:gridCol w:w="146"/>
        <w:gridCol w:w="1231"/>
        <w:gridCol w:w="146"/>
        <w:gridCol w:w="168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 of June 30,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 of December 31,</w:t>
            </w:r>
          </w:p>
        </w:tc>
      </w:tr>
      <w:tr>
        <w:trPr/>
        <w:tc>
          <w:tcPr>
            <w:tcW w:w="2416"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31"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2025</w:t>
            </w:r>
          </w:p>
        </w:tc>
      </w:tr>
      <w:tr>
        <w:trPr/>
        <w:tc>
          <w:tcPr>
            <w:tcW w:w="241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Term accounts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1,600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949</w:t>
            </w:r>
          </w:p>
        </w:tc>
      </w:tr>
      <w:tr>
        <w:trPr/>
        <w:tc>
          <w:tcPr>
            <w:tcW w:w="241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current financial assets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31"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1,600</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6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949</w:t>
            </w:r>
          </w:p>
        </w:tc>
      </w:tr>
    </w:tbl>
    <w:tbl>
      <w:tblPr>
        <w:tblW w:w="7698" w:type="dxa"/>
        <w:jc w:val="left"/>
        <w:tblInd w:w="0" w:type="dxa"/>
        <w:tblLayout w:type="fixed"/>
        <w:tblCellMar>
          <w:top w:w="28" w:type="dxa"/>
          <w:left w:w="28" w:type="dxa"/>
          <w:bottom w:w="28" w:type="dxa"/>
          <w:right w:w="28" w:type="dxa"/>
        </w:tblCellMar>
      </w:tblPr>
      <w:tblGrid>
        <w:gridCol w:w="2551"/>
        <w:gridCol w:w="4846"/>
        <w:gridCol w:w="301"/>
      </w:tblGrid>
      <w:tr>
        <w:trPr/>
        <w:tc>
          <w:tcPr>
            <w:tcW w:w="2551"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8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 xml:space="preserve">Notes to the unaudited condensed consolidated interim financial statements </w:t>
            </w:r>
          </w:p>
        </w:tc>
        <w:tc>
          <w:tcPr>
            <w:tcW w:w="3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14</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single"/>
                  <w:effect w:val="none"/>
                </w:rPr>
                <w:t>Financial Statements</w:t>
              </w:r>
            </w:hyperlink>
          </w:p>
        </w:tc>
        <w:tc>
          <w:tcPr>
            <w:tcW w:w="4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5A5A5A"/>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On June 30, 2026, the Company held no</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current financial assets denominated in foreign currencies. As of the year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ended December 31, 2025</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the Company held $59 million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w:t>
      </w:r>
      <w:r>
        <w:rPr>
          <w:caps w:val="false"/>
          <w:smallCaps w:val="false"/>
          <w:strike w:val="false"/>
          <w:dstrike w:val="false"/>
          <w:color w:val="5A5A5A"/>
          <w:sz w:val="24"/>
          <w:u w:val="none"/>
          <w:effect w:val="none"/>
        </w:rPr>
        <w:t>€</w:t>
      </w:r>
      <w:r>
        <w:rPr>
          <w:rFonts w:ascii="Arial;sans-serif" w:hAnsi="Arial;sans-serif"/>
          <w:b w:val="false"/>
          <w:i w:val="false"/>
          <w:caps w:val="false"/>
          <w:smallCaps w:val="false"/>
          <w:strike w:val="false"/>
          <w:dstrike w:val="false"/>
          <w:color w:val="5A5A5A"/>
          <w:sz w:val="18"/>
          <w:u w:val="none"/>
          <w:effect w:val="none"/>
        </w:rPr>
        <w:t>50 million)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current financial assets denominated in EUR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which could generate a foreign currency exchange gain or loss in the financial results in accordance with the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fluctuations of the USD/EUR exchange rate as the Company’s functional</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currency is USD.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6</w:t>
      </w:r>
      <w:bookmarkStart w:id="34" w:name="i912db19226f340a4973d10becf2d22cd"/>
      <w:bookmarkEnd w:id="34"/>
      <w:r>
        <w:rPr>
          <w:rFonts w:ascii="Arial;sans-serif" w:hAnsi="Arial;sans-serif"/>
          <w:b w:val="false"/>
          <w:i w:val="false"/>
          <w:caps w:val="false"/>
          <w:smallCaps w:val="false"/>
          <w:strike w:val="false"/>
          <w:dstrike w:val="false"/>
          <w:color w:val="91C353"/>
          <w:sz w:val="40"/>
          <w:u w:val="none"/>
          <w:effect w:val="none"/>
        </w:rPr>
        <w:t>Cash and cash equivalents</w:t>
      </w:r>
    </w:p>
    <w:tbl>
      <w:tblPr>
        <w:tblW w:w="5875" w:type="dxa"/>
        <w:jc w:val="left"/>
        <w:tblInd w:w="0" w:type="dxa"/>
        <w:tblLayout w:type="fixed"/>
        <w:tblCellMar>
          <w:top w:w="28" w:type="dxa"/>
          <w:left w:w="28" w:type="dxa"/>
          <w:bottom w:w="28" w:type="dxa"/>
          <w:right w:w="28" w:type="dxa"/>
        </w:tblCellMar>
      </w:tblPr>
      <w:tblGrid>
        <w:gridCol w:w="2671"/>
        <w:gridCol w:w="146"/>
        <w:gridCol w:w="1231"/>
        <w:gridCol w:w="146"/>
        <w:gridCol w:w="168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bottom w:val="single" w:sz="8" w:space="0" w:color="5A5A5A"/>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 of June 30,</w:t>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5A5A5A"/>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 of December 31,</w:t>
            </w:r>
          </w:p>
        </w:tc>
      </w:tr>
      <w:tr>
        <w:trPr/>
        <w:tc>
          <w:tcPr>
            <w:tcW w:w="2671" w:type="dxa"/>
            <w:tcBorders>
              <w:bottom w:val="single" w:sz="8" w:space="0" w:color="5A5A5A"/>
            </w:tcBorders>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31"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681" w:type="dxa"/>
            <w:tcBorders>
              <w:top w:val="single" w:sz="8"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2025</w:t>
            </w:r>
          </w:p>
        </w:tc>
      </w:tr>
      <w:tr>
        <w:trPr/>
        <w:tc>
          <w:tcPr>
            <w:tcW w:w="267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Money market funds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31"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3,068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2,541</w:t>
            </w:r>
          </w:p>
        </w:tc>
      </w:tr>
      <w:tr>
        <w:trPr/>
        <w:tc>
          <w:tcPr>
            <w:tcW w:w="267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Term accounts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500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945</w:t>
            </w:r>
          </w:p>
        </w:tc>
      </w:tr>
      <w:tr>
        <w:trPr/>
        <w:tc>
          <w:tcPr>
            <w:tcW w:w="267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Cash and bank balances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31"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16</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w:t>
            </w:r>
          </w:p>
        </w:tc>
      </w:tr>
      <w:tr>
        <w:trPr/>
        <w:tc>
          <w:tcPr>
            <w:tcW w:w="267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cash and cash equivalents</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31"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3,584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3,491</w:t>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Cash and cash equivalents comprise cash and bank balances, term accounts with an original maturity not exceeding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three months,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and money market funds that are readily convertible to cash and are subject to an insignificant</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risk of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changes in value.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Cash positions are invested with preferred financial partners, which are considered to be high quality financial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institutions with sound credit ratings to reduce credit risk.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On June 30, 2026, cash and cash equivalents included</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$214 million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w:t>
      </w:r>
      <w:r>
        <w:rPr>
          <w:caps w:val="false"/>
          <w:smallCaps w:val="false"/>
          <w:strike w:val="false"/>
          <w:dstrike w:val="false"/>
          <w:color w:val="5A5A5A"/>
          <w:sz w:val="24"/>
          <w:u w:val="none"/>
          <w:effect w:val="none"/>
        </w:rPr>
        <w:t>€</w:t>
      </w:r>
      <w:r>
        <w:rPr>
          <w:rFonts w:ascii="Arial;sans-serif" w:hAnsi="Arial;sans-serif"/>
          <w:b w:val="false"/>
          <w:i w:val="false"/>
          <w:caps w:val="false"/>
          <w:smallCaps w:val="false"/>
          <w:strike w:val="false"/>
          <w:dstrike w:val="false"/>
          <w:color w:val="5A5A5A"/>
          <w:sz w:val="18"/>
          <w:u w:val="none"/>
          <w:effect w:val="none"/>
        </w:rPr>
        <w:t>188 million)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held in EUR (compared to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$97 million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w:t>
      </w:r>
      <w:r>
        <w:rPr>
          <w:caps w:val="false"/>
          <w:smallCaps w:val="false"/>
          <w:strike w:val="false"/>
          <w:dstrike w:val="false"/>
          <w:color w:val="5A5A5A"/>
          <w:sz w:val="24"/>
          <w:u w:val="none"/>
          <w:effect w:val="none"/>
        </w:rPr>
        <w:t>€</w:t>
      </w:r>
      <w:r>
        <w:rPr>
          <w:rFonts w:ascii="Arial;sans-serif" w:hAnsi="Arial;sans-serif"/>
          <w:b w:val="false"/>
          <w:i w:val="false"/>
          <w:caps w:val="false"/>
          <w:smallCaps w:val="false"/>
          <w:strike w:val="false"/>
          <w:dstrike w:val="false"/>
          <w:color w:val="5A5A5A"/>
          <w:sz w:val="18"/>
          <w:u w:val="none"/>
          <w:effect w:val="none"/>
        </w:rPr>
        <w:t xml:space="preserve">83 million) for the period ended December 31, 2025) which could generate a foreign currency exchange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gain or loss in the financial results in accordance with the fluctuations of the USD/EUR exchange rate as the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Company’s functional</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currency is USD.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7</w:t>
      </w:r>
      <w:bookmarkStart w:id="35" w:name="i5fdbfc851c9c49b6b7b966aac28a9cad"/>
      <w:bookmarkEnd w:id="35"/>
      <w:r>
        <w:rPr>
          <w:rFonts w:ascii="Arial;sans-serif" w:hAnsi="Arial;sans-serif"/>
          <w:b w:val="false"/>
          <w:i w:val="false"/>
          <w:caps w:val="false"/>
          <w:smallCaps w:val="false"/>
          <w:strike w:val="false"/>
          <w:dstrike w:val="false"/>
          <w:color w:val="91C353"/>
          <w:sz w:val="40"/>
          <w:u w:val="none"/>
          <w:effect w:val="none"/>
        </w:rPr>
        <w:t>Share capital and share premium</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On June 30, 2026, the Company’s share capital was represented by 62,537,923</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shares. All shares were issued, fully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paid up and of the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same class. The table below summarizes the share issuances as a result of the exercise of stock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options and vesting of restricted stock units under the Company’s Employee Stock Option Plan, for the period ended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June 30, 2026. </w:t>
      </w:r>
    </w:p>
    <w:tbl>
      <w:tblPr>
        <w:tblW w:w="5428" w:type="dxa"/>
        <w:jc w:val="left"/>
        <w:tblInd w:w="0" w:type="dxa"/>
        <w:tblLayout w:type="fixed"/>
        <w:tblCellMar>
          <w:top w:w="28" w:type="dxa"/>
          <w:left w:w="28" w:type="dxa"/>
          <w:bottom w:w="28" w:type="dxa"/>
          <w:right w:w="28" w:type="dxa"/>
        </w:tblCellMar>
      </w:tblPr>
      <w:tblGrid>
        <w:gridCol w:w="4321"/>
        <w:gridCol w:w="146"/>
        <w:gridCol w:w="96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Number of shares outstanding on December 31, 2025</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6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61,883,306</w:t>
            </w:r>
          </w:p>
        </w:tc>
      </w:tr>
      <w:tr>
        <w:trPr/>
        <w:tc>
          <w:tcPr>
            <w:tcW w:w="432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Exercise of stock options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564,463</w:t>
            </w:r>
          </w:p>
        </w:tc>
      </w:tr>
      <w:tr>
        <w:trPr/>
        <w:tc>
          <w:tcPr>
            <w:tcW w:w="432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Vesting of RSUs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90,154</w:t>
            </w:r>
          </w:p>
        </w:tc>
      </w:tr>
      <w:tr>
        <w:trPr/>
        <w:tc>
          <w:tcPr>
            <w:tcW w:w="4321"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Number of shares outstanding on June 30, 2026</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61"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62,537,923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8</w:t>
      </w:r>
      <w:bookmarkStart w:id="36" w:name="i05559e01a1c4489e973935ceccc5a3ee"/>
      <w:bookmarkEnd w:id="36"/>
      <w:r>
        <w:rPr>
          <w:rFonts w:ascii="Arial;sans-serif" w:hAnsi="Arial;sans-serif"/>
          <w:b w:val="false"/>
          <w:i w:val="false"/>
          <w:caps w:val="false"/>
          <w:smallCaps w:val="false"/>
          <w:strike w:val="false"/>
          <w:dstrike w:val="false"/>
          <w:color w:val="91C353"/>
          <w:sz w:val="40"/>
          <w:u w:val="none"/>
          <w:effect w:val="none"/>
        </w:rPr>
        <w:t>Share-based payments</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Company has an equity incentive plan for the employees, key consultants, board members, senior managers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and key outside advisors (“key persons”) of the Company and its subsidiaries. In accordance with the term of the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plan, as approved by shareholders, employees may be granted stock options and/or restricted stock units and/or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performance stock units. </w:t>
      </w:r>
    </w:p>
    <w:tbl>
      <w:tblPr>
        <w:tblW w:w="7698" w:type="dxa"/>
        <w:jc w:val="left"/>
        <w:tblInd w:w="0" w:type="dxa"/>
        <w:tblLayout w:type="fixed"/>
        <w:tblCellMar>
          <w:top w:w="28" w:type="dxa"/>
          <w:left w:w="28" w:type="dxa"/>
          <w:bottom w:w="28" w:type="dxa"/>
          <w:right w:w="28" w:type="dxa"/>
        </w:tblCellMar>
      </w:tblPr>
      <w:tblGrid>
        <w:gridCol w:w="2551"/>
        <w:gridCol w:w="4846"/>
        <w:gridCol w:w="301"/>
      </w:tblGrid>
      <w:tr>
        <w:trPr/>
        <w:tc>
          <w:tcPr>
            <w:tcW w:w="2551"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8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 xml:space="preserve">Notes to the unaudited condensed consolidated interim financial statements </w:t>
            </w:r>
          </w:p>
        </w:tc>
        <w:tc>
          <w:tcPr>
            <w:tcW w:w="3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15</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single"/>
                  <w:effect w:val="none"/>
                </w:rPr>
                <w:t>Financial Statements</w:t>
              </w:r>
            </w:hyperlink>
          </w:p>
        </w:tc>
        <w:tc>
          <w:tcPr>
            <w:tcW w:w="4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5A5A5A"/>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0"/>
        <w:jc w:val="left"/>
        <w:rPr>
          <w:sz w:val="30"/>
        </w:rPr>
      </w:pPr>
      <w:r>
        <w:rPr>
          <w:rFonts w:ascii="Arial;sans-serif" w:hAnsi="Arial;sans-serif"/>
          <w:b w:val="false"/>
          <w:i w:val="false"/>
          <w:caps w:val="false"/>
          <w:smallCaps w:val="false"/>
          <w:strike w:val="false"/>
          <w:dstrike w:val="false"/>
          <w:color w:val="91C353"/>
          <w:sz w:val="30"/>
          <w:u w:val="none"/>
          <w:effect w:val="none"/>
        </w:rPr>
        <w:t>8.1</w:t>
      </w:r>
      <w:bookmarkStart w:id="37" w:name="i5e7645bb7406415ea0775c38aa0e8ef6"/>
      <w:bookmarkEnd w:id="37"/>
      <w:r>
        <w:rPr>
          <w:rFonts w:ascii="Arial;sans-serif" w:hAnsi="Arial;sans-serif"/>
          <w:b w:val="false"/>
          <w:i w:val="false"/>
          <w:caps w:val="false"/>
          <w:smallCaps w:val="false"/>
          <w:strike w:val="false"/>
          <w:dstrike w:val="false"/>
          <w:color w:val="91C353"/>
          <w:sz w:val="30"/>
          <w:u w:val="none"/>
          <w:effect w:val="none"/>
        </w:rPr>
        <w:t>Stock options</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stock options are granted to key persons of the Company and its subsidiaries. The stock options may be granted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to purchase ordinary shares at an exercise price. The stock options have been granted free of charge. Each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employee’s stock option converts into one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ordinary share of the Company upon exercise. The stock options carry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neither rights to dividends nor voting rights. Stock options may be exercised at any time from the date of vesting to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date of their expiry.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The stock options granted vest, in principle, as follows:</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1/3</w:t>
      </w:r>
      <w:r>
        <w:rPr>
          <w:rFonts w:ascii="Arial;sans-serif" w:hAnsi="Arial;sans-serif"/>
          <w:b w:val="false"/>
          <w:i w:val="false"/>
          <w:caps w:val="false"/>
          <w:smallCaps w:val="false"/>
          <w:strike w:val="false"/>
          <w:dstrike w:val="false"/>
          <w:color w:val="5A5A5A"/>
          <w:sz w:val="12"/>
          <w:u w:val="none"/>
          <w:effect w:val="none"/>
        </w:rPr>
        <w:t>rd</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of the total stock options granted on the first anniversary of the granting of the stock options; and </w:t>
      </w:r>
    </w:p>
    <w:p>
      <w:pPr>
        <w:pStyle w:val="TextBody"/>
        <w:bidi w:val="0"/>
        <w:spacing w:lineRule="atLeast" w:line="180" w:before="0" w:after="0"/>
        <w:jc w:val="left"/>
        <w:rPr/>
      </w:pPr>
      <w:r>
        <w:rPr>
          <w:caps w:val="false"/>
          <w:smallCaps w:val="false"/>
          <w:strike w:val="false"/>
          <w:dstrike w:val="false"/>
          <w:color w:val="91C353"/>
          <w:u w:val="none"/>
          <w:effect w:val="none"/>
        </w:rPr>
        <w:t>•</w:t>
      </w:r>
      <w:r>
        <w:rPr>
          <w:rFonts w:ascii="Arial;sans-serif" w:hAnsi="Arial;sans-serif"/>
          <w:b w:val="false"/>
          <w:i w:val="false"/>
          <w:caps w:val="false"/>
          <w:smallCaps w:val="false"/>
          <w:strike w:val="false"/>
          <w:dstrike w:val="false"/>
          <w:color w:val="5A5A5A"/>
          <w:sz w:val="18"/>
          <w:u w:val="none"/>
          <w:effect w:val="none"/>
        </w:rPr>
        <w:t>1/36</w:t>
      </w:r>
      <w:r>
        <w:rPr>
          <w:rFonts w:ascii="Arial;sans-serif" w:hAnsi="Arial;sans-serif"/>
          <w:b w:val="false"/>
          <w:i w:val="false"/>
          <w:caps w:val="false"/>
          <w:smallCaps w:val="false"/>
          <w:strike w:val="false"/>
          <w:dstrike w:val="false"/>
          <w:color w:val="5A5A5A"/>
          <w:sz w:val="12"/>
          <w:u w:val="none"/>
          <w:effect w:val="none"/>
        </w:rPr>
        <w:t>th</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of the total grant on the first day of each month following the first anniversary of the date of grant of the stock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options.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Stock options granted to any non-executive directors vest on the third anniversary of the date of grant. For grants as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of January 1, 2026, stock options granted to an executive director vests on the third anniversary of the date of grant.</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Upon leave of the key persons stock options must be exercised before the later of (i) 90 days after the last working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day at argenx, or (ii) March 31 of the 4th year following the date of grant of those stock options, and in any case no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later than the expiration date of the option.</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No other conditions are attached to stock options.</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Below is an overview of the parameters used in relation to the new grant during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w:t>
      </w:r>
    </w:p>
    <w:tbl>
      <w:tblPr>
        <w:tblW w:w="10033" w:type="dxa"/>
        <w:jc w:val="left"/>
        <w:tblInd w:w="0" w:type="dxa"/>
        <w:tblLayout w:type="fixed"/>
        <w:tblCellMar>
          <w:top w:w="28" w:type="dxa"/>
          <w:left w:w="28" w:type="dxa"/>
          <w:bottom w:w="28" w:type="dxa"/>
          <w:right w:w="28" w:type="dxa"/>
        </w:tblCellMar>
      </w:tblPr>
      <w:tblGrid>
        <w:gridCol w:w="5025"/>
        <w:gridCol w:w="186"/>
        <w:gridCol w:w="2154"/>
        <w:gridCol w:w="437"/>
        <w:gridCol w:w="2231"/>
      </w:tblGrid>
      <w:tr>
        <w:trPr/>
        <w:tc>
          <w:tcPr>
            <w:tcW w:w="50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r>
      <w:tr>
        <w:trPr/>
        <w:tc>
          <w:tcPr>
            <w:tcW w:w="5025"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Stock options granted in</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215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March 2026</w:t>
            </w:r>
          </w:p>
        </w:tc>
        <w:tc>
          <w:tcPr>
            <w:tcW w:w="437" w:type="dxa"/>
            <w:tcBorders/>
            <w:shd w:fill="FFFFFF" w:val="clear"/>
            <w:vAlign w:val="center"/>
          </w:tcPr>
          <w:p>
            <w:pPr>
              <w:pStyle w:val="TableContents"/>
              <w:bidi w:val="0"/>
              <w:spacing w:before="0" w:after="283"/>
              <w:jc w:val="left"/>
              <w:rPr>
                <w:sz w:val="4"/>
                <w:szCs w:val="4"/>
              </w:rPr>
            </w:pPr>
            <w:r>
              <w:rPr>
                <w:sz w:val="4"/>
                <w:szCs w:val="4"/>
              </w:rPr>
            </w:r>
          </w:p>
        </w:tc>
        <w:tc>
          <w:tcPr>
            <w:tcW w:w="2231" w:type="dxa"/>
            <w:tcBorders>
              <w:bottom w:val="single" w:sz="8" w:space="0" w:color="5A5A5A"/>
            </w:tcBorders>
            <w:tcMar>
              <w:top w:w="0" w:type="dxa"/>
              <w:left w:w="0" w:type="dxa"/>
              <w:right w:w="0" w:type="dxa"/>
            </w:tcMar>
            <w:vAlign w:val="center"/>
          </w:tcPr>
          <w:p>
            <w:pPr>
              <w:pStyle w:val="TableContents"/>
              <w:bidi w:val="0"/>
              <w:spacing w:lineRule="atLeast" w:line="160" w:before="0" w:after="0"/>
              <w:jc w:val="left"/>
              <w:rPr>
                <w:sz w:val="24"/>
              </w:rPr>
            </w:pPr>
            <w:r>
              <w:rPr>
                <w:rFonts w:ascii="Arial;sans-serif" w:hAnsi="Arial;sans-serif"/>
                <w:b/>
                <w:i w:val="false"/>
                <w:caps w:val="false"/>
                <w:smallCaps w:val="false"/>
                <w:strike w:val="false"/>
                <w:dstrike w:val="false"/>
                <w:color w:val="5A5A5A"/>
                <w:sz w:val="16"/>
                <w:u w:val="none"/>
                <w:effect w:val="none"/>
              </w:rPr>
              <w:t>June 2026</w:t>
            </w:r>
            <w:r>
              <w:rPr>
                <w:caps w:val="false"/>
                <w:smallCaps w:val="false"/>
                <w:strike w:val="false"/>
                <w:dstrike w:val="false"/>
                <w:color w:val="5A5A5A"/>
                <w:sz w:val="24"/>
                <w:u w:val="none"/>
                <w:effect w:val="none"/>
              </w:rPr>
              <w:t xml:space="preserve"> </w:t>
            </w:r>
            <w:r>
              <w:rPr>
                <w:rFonts w:ascii="Arial;sans-serif" w:hAnsi="Arial;sans-serif"/>
                <w:b/>
                <w:i w:val="false"/>
                <w:caps w:val="false"/>
                <w:smallCaps w:val="false"/>
                <w:strike w:val="false"/>
                <w:dstrike w:val="false"/>
                <w:color w:val="5A5A5A"/>
                <w:sz w:val="10"/>
                <w:u w:val="none"/>
                <w:effect w:val="none"/>
              </w:rPr>
              <w:t>1)</w:t>
            </w:r>
          </w:p>
        </w:tc>
      </w:tr>
      <w:tr>
        <w:trPr/>
        <w:tc>
          <w:tcPr>
            <w:tcW w:w="5025"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Number of options granted</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2154" w:type="dxa"/>
            <w:tcBorders>
              <w:top w:val="single" w:sz="8" w:space="0" w:color="000000"/>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18,983</w:t>
            </w:r>
          </w:p>
        </w:tc>
        <w:tc>
          <w:tcPr>
            <w:tcW w:w="437" w:type="dxa"/>
            <w:tcBorders/>
            <w:shd w:fill="FFFFFF" w:val="clear"/>
            <w:vAlign w:val="center"/>
          </w:tcPr>
          <w:p>
            <w:pPr>
              <w:pStyle w:val="TableContents"/>
              <w:bidi w:val="0"/>
              <w:spacing w:before="0" w:after="283"/>
              <w:jc w:val="left"/>
              <w:rPr>
                <w:sz w:val="4"/>
                <w:szCs w:val="4"/>
              </w:rPr>
            </w:pPr>
            <w:r>
              <w:rPr>
                <w:sz w:val="4"/>
                <w:szCs w:val="4"/>
              </w:rPr>
            </w:r>
          </w:p>
        </w:tc>
        <w:tc>
          <w:tcPr>
            <w:tcW w:w="223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397,549</w:t>
            </w:r>
          </w:p>
        </w:tc>
      </w:tr>
      <w:tr>
        <w:trPr/>
        <w:tc>
          <w:tcPr>
            <w:tcW w:w="5025"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5A5A5A"/>
                <w:sz w:val="16"/>
                <w:u w:val="none"/>
                <w:effect w:val="none"/>
              </w:rPr>
              <w:t xml:space="preserve">Average Fair value of options (in $) </w:t>
            </w:r>
            <w:r>
              <w:rPr>
                <w:rFonts w:ascii="Arial;sans-serif" w:hAnsi="Arial;sans-serif"/>
                <w:b w:val="false"/>
                <w:i w:val="false"/>
                <w:caps w:val="false"/>
                <w:smallCaps w:val="false"/>
                <w:strike w:val="false"/>
                <w:dstrike w:val="false"/>
                <w:color w:val="5A5A5A"/>
                <w:sz w:val="10"/>
                <w:u w:val="none"/>
                <w:effect w:val="none"/>
              </w:rPr>
              <w:t>2)</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215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5A5A5A"/>
                <w:sz w:val="16"/>
                <w:u w:val="none"/>
                <w:effect w:val="none"/>
              </w:rPr>
              <w:t>250.03</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6"/>
                <w:u w:val="none"/>
                <w:effect w:val="none"/>
              </w:rPr>
              <w:t>- 308.64</w:t>
            </w:r>
          </w:p>
        </w:tc>
        <w:tc>
          <w:tcPr>
            <w:tcW w:w="437" w:type="dxa"/>
            <w:tcBorders/>
            <w:shd w:fill="FFFFFF" w:val="clear"/>
            <w:vAlign w:val="center"/>
          </w:tcPr>
          <w:p>
            <w:pPr>
              <w:pStyle w:val="TableContents"/>
              <w:bidi w:val="0"/>
              <w:spacing w:before="0" w:after="283"/>
              <w:jc w:val="left"/>
              <w:rPr>
                <w:sz w:val="4"/>
                <w:szCs w:val="4"/>
              </w:rPr>
            </w:pPr>
            <w:r>
              <w:rPr>
                <w:sz w:val="4"/>
                <w:szCs w:val="4"/>
              </w:rPr>
            </w:r>
          </w:p>
        </w:tc>
        <w:tc>
          <w:tcPr>
            <w:tcW w:w="223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5A5A5A"/>
                <w:sz w:val="16"/>
                <w:u w:val="none"/>
                <w:effect w:val="none"/>
              </w:rPr>
              <w:t>369.26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6"/>
                <w:u w:val="none"/>
                <w:effect w:val="none"/>
              </w:rPr>
              <w:t>- 401.72</w:t>
            </w:r>
          </w:p>
        </w:tc>
      </w:tr>
      <w:tr>
        <w:trPr/>
        <w:tc>
          <w:tcPr>
            <w:tcW w:w="5025"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5A5A5A"/>
                <w:sz w:val="16"/>
                <w:u w:val="none"/>
                <w:effect w:val="none"/>
              </w:rPr>
              <w:t xml:space="preserve">Share price (in $) </w:t>
            </w:r>
            <w:r>
              <w:rPr>
                <w:rFonts w:ascii="Arial;sans-serif" w:hAnsi="Arial;sans-serif"/>
                <w:b w:val="false"/>
                <w:i w:val="false"/>
                <w:caps w:val="false"/>
                <w:smallCaps w:val="false"/>
                <w:strike w:val="false"/>
                <w:dstrike w:val="false"/>
                <w:color w:val="5A5A5A"/>
                <w:sz w:val="10"/>
                <w:u w:val="none"/>
                <w:effect w:val="none"/>
              </w:rPr>
              <w:t>2)</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215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5A5A5A"/>
                <w:sz w:val="16"/>
                <w:u w:val="none"/>
                <w:effect w:val="none"/>
              </w:rPr>
              <w:t>713.80</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6"/>
                <w:u w:val="none"/>
                <w:effect w:val="none"/>
              </w:rPr>
              <w:t>- 822.80</w:t>
            </w:r>
          </w:p>
        </w:tc>
        <w:tc>
          <w:tcPr>
            <w:tcW w:w="437" w:type="dxa"/>
            <w:tcBorders/>
            <w:shd w:fill="FFFFFF" w:val="clear"/>
            <w:vAlign w:val="center"/>
          </w:tcPr>
          <w:p>
            <w:pPr>
              <w:pStyle w:val="TableContents"/>
              <w:bidi w:val="0"/>
              <w:spacing w:before="0" w:after="283"/>
              <w:jc w:val="left"/>
              <w:rPr>
                <w:sz w:val="4"/>
                <w:szCs w:val="4"/>
              </w:rPr>
            </w:pPr>
            <w:r>
              <w:rPr>
                <w:sz w:val="4"/>
                <w:szCs w:val="4"/>
              </w:rPr>
            </w:r>
          </w:p>
        </w:tc>
        <w:tc>
          <w:tcPr>
            <w:tcW w:w="223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924.51</w:t>
            </w:r>
          </w:p>
        </w:tc>
      </w:tr>
      <w:tr>
        <w:trPr/>
        <w:tc>
          <w:tcPr>
            <w:tcW w:w="5025"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5A5A5A"/>
                <w:sz w:val="16"/>
                <w:u w:val="none"/>
                <w:effect w:val="none"/>
              </w:rPr>
              <w:t xml:space="preserve">Exercise price (in $) </w:t>
            </w:r>
            <w:r>
              <w:rPr>
                <w:rFonts w:ascii="Arial;sans-serif" w:hAnsi="Arial;sans-serif"/>
                <w:b w:val="false"/>
                <w:i w:val="false"/>
                <w:caps w:val="false"/>
                <w:smallCaps w:val="false"/>
                <w:strike w:val="false"/>
                <w:dstrike w:val="false"/>
                <w:color w:val="5A5A5A"/>
                <w:sz w:val="10"/>
                <w:u w:val="none"/>
                <w:effect w:val="none"/>
              </w:rPr>
              <w:t>2)</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215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704.83</w:t>
            </w:r>
          </w:p>
        </w:tc>
        <w:tc>
          <w:tcPr>
            <w:tcW w:w="437" w:type="dxa"/>
            <w:tcBorders/>
            <w:shd w:fill="FFFFFF" w:val="clear"/>
            <w:vAlign w:val="center"/>
          </w:tcPr>
          <w:p>
            <w:pPr>
              <w:pStyle w:val="TableContents"/>
              <w:bidi w:val="0"/>
              <w:spacing w:before="0" w:after="283"/>
              <w:jc w:val="left"/>
              <w:rPr>
                <w:sz w:val="4"/>
                <w:szCs w:val="4"/>
              </w:rPr>
            </w:pPr>
            <w:r>
              <w:rPr>
                <w:sz w:val="4"/>
                <w:szCs w:val="4"/>
              </w:rPr>
            </w:r>
          </w:p>
        </w:tc>
        <w:tc>
          <w:tcPr>
            <w:tcW w:w="223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894.88</w:t>
            </w:r>
          </w:p>
        </w:tc>
      </w:tr>
      <w:tr>
        <w:trPr/>
        <w:tc>
          <w:tcPr>
            <w:tcW w:w="5025"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Expected volatility</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215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5A5A5A"/>
                <w:sz w:val="16"/>
                <w:u w:val="none"/>
                <w:effect w:val="none"/>
              </w:rPr>
              <w:t>38.81</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6"/>
                <w:u w:val="none"/>
                <w:effect w:val="none"/>
              </w:rPr>
              <w:t>- 39.99%</w:t>
            </w:r>
          </w:p>
        </w:tc>
        <w:tc>
          <w:tcPr>
            <w:tcW w:w="437"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w:t>
            </w:r>
          </w:p>
        </w:tc>
        <w:tc>
          <w:tcPr>
            <w:tcW w:w="223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38.60%</w:t>
            </w:r>
          </w:p>
        </w:tc>
      </w:tr>
      <w:tr>
        <w:trPr/>
        <w:tc>
          <w:tcPr>
            <w:tcW w:w="5025"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Average Expected option life (in years)</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215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5A5A5A"/>
                <w:sz w:val="16"/>
                <w:u w:val="none"/>
                <w:effect w:val="none"/>
              </w:rPr>
              <w:t>4.30</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6"/>
                <w:u w:val="none"/>
                <w:effect w:val="none"/>
              </w:rPr>
              <w:t>- 6.50</w:t>
            </w:r>
          </w:p>
        </w:tc>
        <w:tc>
          <w:tcPr>
            <w:tcW w:w="437" w:type="dxa"/>
            <w:tcBorders/>
            <w:shd w:fill="FFFFFF" w:val="clear"/>
            <w:vAlign w:val="center"/>
          </w:tcPr>
          <w:p>
            <w:pPr>
              <w:pStyle w:val="TableContents"/>
              <w:bidi w:val="0"/>
              <w:spacing w:before="0" w:after="283"/>
              <w:jc w:val="left"/>
              <w:rPr>
                <w:sz w:val="4"/>
                <w:szCs w:val="4"/>
              </w:rPr>
            </w:pPr>
            <w:r>
              <w:rPr>
                <w:sz w:val="4"/>
                <w:szCs w:val="4"/>
              </w:rPr>
            </w:r>
          </w:p>
        </w:tc>
        <w:tc>
          <w:tcPr>
            <w:tcW w:w="223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5A5A5A"/>
                <w:sz w:val="16"/>
                <w:u w:val="none"/>
                <w:effect w:val="none"/>
              </w:rPr>
              <w:t>5.34</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6"/>
                <w:u w:val="none"/>
                <w:effect w:val="none"/>
              </w:rPr>
              <w:t>- 6.36</w:t>
            </w:r>
          </w:p>
        </w:tc>
      </w:tr>
      <w:tr>
        <w:trPr/>
        <w:tc>
          <w:tcPr>
            <w:tcW w:w="5025"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Risk</w:t>
              <w:noBreakHyphen/>
              <w:t>free interest rate</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215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5A5A5A"/>
                <w:sz w:val="16"/>
                <w:u w:val="none"/>
                <w:effect w:val="none"/>
              </w:rPr>
              <w:t>2.48</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6"/>
                <w:u w:val="none"/>
                <w:effect w:val="none"/>
              </w:rPr>
              <w:t>- 2.59%</w:t>
            </w:r>
          </w:p>
        </w:tc>
        <w:tc>
          <w:tcPr>
            <w:tcW w:w="437"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w:t>
            </w:r>
          </w:p>
        </w:tc>
        <w:tc>
          <w:tcPr>
            <w:tcW w:w="223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color w:val="5A5A5A"/>
                <w:sz w:val="16"/>
                <w:u w:val="none"/>
                <w:effect w:val="none"/>
              </w:rPr>
              <w:t>2.48</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6"/>
                <w:u w:val="none"/>
                <w:effect w:val="none"/>
              </w:rPr>
              <w:t>- 2.52%</w:t>
            </w:r>
          </w:p>
        </w:tc>
      </w:tr>
      <w:tr>
        <w:trPr/>
        <w:tc>
          <w:tcPr>
            <w:tcW w:w="5025"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Expected dividends</w:t>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2154"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r>
              <w:rPr>
                <w:rFonts w:ascii="Arial;sans-serif" w:hAnsi="Arial;sans-serif"/>
                <w:b w:val="false"/>
                <w:i w:val="false"/>
                <w:caps w:val="false"/>
                <w:smallCaps w:val="false"/>
                <w:strike w:val="false"/>
                <w:dstrike w:val="false"/>
                <w:color w:val="5A5A5A"/>
                <w:sz w:val="16"/>
                <w:u w:val="none"/>
                <w:effect w:val="none"/>
              </w:rPr>
              <w:t>%</w:t>
            </w:r>
          </w:p>
        </w:tc>
        <w:tc>
          <w:tcPr>
            <w:tcW w:w="437"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w:t>
            </w:r>
          </w:p>
        </w:tc>
        <w:tc>
          <w:tcPr>
            <w:tcW w:w="223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r>
              <w:rPr>
                <w:rFonts w:ascii="Arial;sans-serif" w:hAnsi="Arial;sans-serif"/>
                <w:b w:val="false"/>
                <w:i w:val="false"/>
                <w:caps w:val="false"/>
                <w:smallCaps w:val="false"/>
                <w:strike w:val="false"/>
                <w:dstrike w:val="false"/>
                <w:color w:val="5A5A5A"/>
                <w:sz w:val="16"/>
                <w:u w:val="none"/>
                <w:effect w:val="none"/>
              </w:rPr>
              <w:t>%</w:t>
            </w:r>
          </w:p>
        </w:tc>
      </w:tr>
      <w:tr>
        <w:trPr/>
        <w:tc>
          <w:tcPr>
            <w:tcW w:w="5025"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2154"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vAlign w:val="center"/>
          </w:tcPr>
          <w:p>
            <w:pPr>
              <w:pStyle w:val="TableContents"/>
              <w:bidi w:val="0"/>
              <w:spacing w:before="0" w:after="283"/>
              <w:jc w:val="left"/>
              <w:rPr>
                <w:sz w:val="4"/>
                <w:szCs w:val="4"/>
              </w:rPr>
            </w:pPr>
            <w:r>
              <w:rPr>
                <w:sz w:val="4"/>
                <w:szCs w:val="4"/>
              </w:rPr>
            </w:r>
          </w:p>
        </w:tc>
        <w:tc>
          <w:tcPr>
            <w:tcW w:w="2231"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3" w:type="dxa"/>
            <w:gridSpan w:val="5"/>
            <w:tcBorders/>
            <w:shd w:fill="FFFFFF" w:val="clear"/>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5A5A5A"/>
                <w:sz w:val="13"/>
                <w:u w:val="none"/>
                <w:effect w:val="none"/>
              </w:rPr>
              <w:t>1)In June 2026, the Company granted a total of 397,549</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3"/>
                <w:u w:val="none"/>
                <w:effect w:val="none"/>
              </w:rPr>
              <w:t>stock options of which 109,627</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3"/>
                <w:u w:val="none"/>
                <w:effect w:val="none"/>
              </w:rPr>
              <w:t xml:space="preserve">stock options to Belgian taxed beneficiaries. Belgian taxed </w:t>
            </w:r>
          </w:p>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5A5A5A"/>
                <w:sz w:val="13"/>
                <w:u w:val="none"/>
                <w:effect w:val="none"/>
              </w:rPr>
              <w:t>beneficiaries can choose between a contractual term of five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3"/>
                <w:u w:val="none"/>
                <w:effect w:val="none"/>
              </w:rPr>
              <w:t>or ten years. The expected option life ranges between 4.16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3"/>
                <w:u w:val="none"/>
                <w:effect w:val="none"/>
              </w:rPr>
              <w:t>and 6.36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3"/>
                <w:u w:val="none"/>
                <w:effect w:val="none"/>
              </w:rPr>
              <w:t xml:space="preserve">years. This estimate will be </w:t>
            </w:r>
          </w:p>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5A5A5A"/>
                <w:sz w:val="13"/>
                <w:u w:val="none"/>
                <w:effect w:val="none"/>
              </w:rPr>
              <w:t>reassessed once the acceptance period of 60 days has passed and the beneficiaries will have made a choice between a contractual term of five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3"/>
                <w:u w:val="none"/>
                <w:effect w:val="none"/>
              </w:rPr>
              <w:t xml:space="preserve">or ten years. </w:t>
            </w:r>
          </w:p>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5A5A5A"/>
                <w:sz w:val="13"/>
                <w:u w:val="none"/>
                <w:effect w:val="none"/>
              </w:rPr>
              <w:t>The total difference in fair value of the grant to Belgian taxed beneficiaries would not be material irrespective of 100%</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3"/>
                <w:u w:val="none"/>
                <w:effect w:val="none"/>
              </w:rPr>
              <w:t xml:space="preserve">of the stock options of Belgian taxed </w:t>
            </w:r>
          </w:p>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5A5A5A"/>
                <w:sz w:val="13"/>
                <w:u w:val="none"/>
                <w:effect w:val="none"/>
              </w:rPr>
              <w:t>beneficiaries with a contractual term of five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3"/>
                <w:u w:val="none"/>
                <w:effect w:val="none"/>
              </w:rPr>
              <w:t>or  ten years.</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5A5A5A"/>
                <w:sz w:val="13"/>
                <w:u w:val="none"/>
                <w:effect w:val="none"/>
              </w:rPr>
            </w:pPr>
            <w:r>
              <w:rPr>
                <w:rFonts w:ascii="Arial;sans-serif" w:hAnsi="Arial;sans-serif"/>
                <w:b w:val="false"/>
                <w:i w:val="false"/>
                <w:caps w:val="false"/>
                <w:smallCaps w:val="false"/>
                <w:strike w:val="false"/>
                <w:dstrike w:val="false"/>
                <w:color w:val="5A5A5A"/>
                <w:sz w:val="13"/>
                <w:u w:val="none"/>
                <w:effect w:val="none"/>
              </w:rPr>
              <w:t>2)Amounts have been converted to USD at the applicable rate prevailing at the grant date.</w:t>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total share-based payment expense related to stock options recognized in the unaudited condensed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consolidated interim statement of profit or loss totaled $52</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compared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to $55</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0"/>
        <w:jc w:val="left"/>
        <w:rPr>
          <w:sz w:val="30"/>
        </w:rPr>
      </w:pPr>
      <w:r>
        <w:rPr>
          <w:rFonts w:ascii="Arial;sans-serif" w:hAnsi="Arial;sans-serif"/>
          <w:b w:val="false"/>
          <w:i w:val="false"/>
          <w:caps w:val="false"/>
          <w:smallCaps w:val="false"/>
          <w:strike w:val="false"/>
          <w:dstrike w:val="false"/>
          <w:color w:val="91C353"/>
          <w:sz w:val="30"/>
          <w:u w:val="none"/>
          <w:effect w:val="none"/>
        </w:rPr>
        <w:t>8.2</w:t>
      </w:r>
      <w:bookmarkStart w:id="38" w:name="ia1164f0ab9b44a23ae7b2df6ffb93bd6"/>
      <w:bookmarkEnd w:id="38"/>
      <w:r>
        <w:rPr>
          <w:rFonts w:ascii="Arial;sans-serif" w:hAnsi="Arial;sans-serif"/>
          <w:b w:val="false"/>
          <w:i w:val="false"/>
          <w:caps w:val="false"/>
          <w:smallCaps w:val="false"/>
          <w:strike w:val="false"/>
          <w:dstrike w:val="false"/>
          <w:color w:val="91C353"/>
          <w:sz w:val="30"/>
          <w:u w:val="none"/>
          <w:effect w:val="none"/>
        </w:rPr>
        <w:t>Restricted Stock Units (RSUs)</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RSUs are granted to key persons of the Company and its subsidiaries. The RSUs have been granted free of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charge. Each employee’s RSUs converts into one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ordinary share of the Company upon vesting. The RSUs carry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neither rights to dividends nor voting rights. RSUs once converted into ordinary shares, may be sold at any time from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date of vesting, have no expiry date and may be held by the participant without limitation. The fair value of RSUs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is based on the closing sale price of our Company’s common stock on the day prior to the date of issuance. RSUs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vest over a period of four years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with 1/4</w:t>
      </w:r>
      <w:r>
        <w:rPr>
          <w:rFonts w:ascii="Arial;sans-serif" w:hAnsi="Arial;sans-serif"/>
          <w:b w:val="false"/>
          <w:i w:val="false"/>
          <w:caps w:val="false"/>
          <w:smallCaps w:val="false"/>
          <w:strike w:val="false"/>
          <w:dstrike w:val="false"/>
          <w:color w:val="5A5A5A"/>
          <w:sz w:val="12"/>
          <w:u w:val="none"/>
          <w:effect w:val="none"/>
        </w:rPr>
        <w:t>th</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of the total grant vesting at each anniversary of the date of grant.</w:t>
      </w:r>
    </w:p>
    <w:tbl>
      <w:tblPr>
        <w:tblW w:w="7698" w:type="dxa"/>
        <w:jc w:val="left"/>
        <w:tblInd w:w="0" w:type="dxa"/>
        <w:tblLayout w:type="fixed"/>
        <w:tblCellMar>
          <w:top w:w="28" w:type="dxa"/>
          <w:left w:w="28" w:type="dxa"/>
          <w:bottom w:w="28" w:type="dxa"/>
          <w:right w:w="28" w:type="dxa"/>
        </w:tblCellMar>
      </w:tblPr>
      <w:tblGrid>
        <w:gridCol w:w="2551"/>
        <w:gridCol w:w="4846"/>
        <w:gridCol w:w="301"/>
      </w:tblGrid>
      <w:tr>
        <w:trPr/>
        <w:tc>
          <w:tcPr>
            <w:tcW w:w="2551"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8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 xml:space="preserve">Notes to the unaudited condensed consolidated interim financial statements </w:t>
            </w:r>
          </w:p>
        </w:tc>
        <w:tc>
          <w:tcPr>
            <w:tcW w:w="3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16</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single"/>
                  <w:effect w:val="none"/>
                </w:rPr>
                <w:t>Financial Statements</w:t>
              </w:r>
            </w:hyperlink>
          </w:p>
        </w:tc>
        <w:tc>
          <w:tcPr>
            <w:tcW w:w="4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5A5A5A"/>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RSUs granted to non-executive directors prior to the year ended December 31, 2024 vest over a period of four years</w:t>
      </w:r>
      <w:r>
        <w:rPr>
          <w:caps w:val="false"/>
          <w:smallCaps w:val="false"/>
          <w:strike w:val="false"/>
          <w:dstrike w:val="false"/>
          <w:color w:val="5A5A5A"/>
          <w:sz w:val="24"/>
          <w:u w:val="none"/>
          <w:effect w:val="none"/>
        </w:rPr>
        <w:t xml:space="preserv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with 1/4</w:t>
      </w:r>
      <w:r>
        <w:rPr>
          <w:rFonts w:ascii="Arial;sans-serif" w:hAnsi="Arial;sans-serif"/>
          <w:b w:val="false"/>
          <w:i w:val="false"/>
          <w:caps w:val="false"/>
          <w:smallCaps w:val="false"/>
          <w:strike w:val="false"/>
          <w:dstrike w:val="false"/>
          <w:color w:val="5A5A5A"/>
          <w:sz w:val="12"/>
          <w:u w:val="none"/>
          <w:effect w:val="none"/>
        </w:rPr>
        <w:t>th</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of the total grant vesting at each anniversary of the date of grant. RSUs granted to non-executive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directors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in the year ended December 31, 2024 and 2025 vest at the one year</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anniversary of the grant and are subject to a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holding period of three years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after vesting. RSUs granted to non-executive directors as of January 1, 2026 are not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subject to vesting conditions upon grant, but are subject to a holding period of four years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from grant date. The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Company has assessed a reduction in fair value associated to RSUs subject to a holding period.</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The total share-based payment expense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related to RSUs recognized in the unaudited condensed consolidated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interim statements of profit or loss totaled $59</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 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compared to $56</w:t>
      </w:r>
      <w:r>
        <w:rPr>
          <w:caps w:val="false"/>
          <w:smallCaps w:val="false"/>
          <w:strike w:val="false"/>
          <w:dstrike w:val="false"/>
          <w:color w:val="5A5A5A"/>
          <w:sz w:val="24"/>
          <w:u w:val="none"/>
          <w:effect w:val="none"/>
        </w:rPr>
        <w:t xml:space="preserv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million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for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00" w:before="0" w:after="0"/>
        <w:jc w:val="left"/>
        <w:rPr>
          <w:sz w:val="30"/>
        </w:rPr>
      </w:pPr>
      <w:r>
        <w:rPr>
          <w:rFonts w:ascii="Arial;sans-serif" w:hAnsi="Arial;sans-serif"/>
          <w:b w:val="false"/>
          <w:i w:val="false"/>
          <w:caps w:val="false"/>
          <w:smallCaps w:val="false"/>
          <w:strike w:val="false"/>
          <w:dstrike w:val="false"/>
          <w:color w:val="91C353"/>
          <w:sz w:val="30"/>
          <w:u w:val="none"/>
          <w:effect w:val="none"/>
        </w:rPr>
        <w:t>8.3</w:t>
      </w:r>
      <w:bookmarkStart w:id="39" w:name="i3bfc09711f324ba6b84eb45e8f1fa393"/>
      <w:bookmarkEnd w:id="39"/>
      <w:r>
        <w:rPr>
          <w:rFonts w:ascii="Arial;sans-serif" w:hAnsi="Arial;sans-serif"/>
          <w:b w:val="false"/>
          <w:i w:val="false"/>
          <w:caps w:val="false"/>
          <w:smallCaps w:val="false"/>
          <w:strike w:val="false"/>
          <w:dstrike w:val="false"/>
          <w:color w:val="91C353"/>
          <w:sz w:val="30"/>
          <w:u w:val="none"/>
          <w:effect w:val="none"/>
        </w:rPr>
        <w:t>Performance Stock Units (PSUs)</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PSUs are granted to key persons of the Company and its subsidiaries. The PSUs have been granted free of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charge. Each employee’s PSUs converts into one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ordinary share of the Company upon vesting. The PSUs carry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neither rights to dividends nor voting rights. PSUs once converted into ordinary shares have no expiry date and may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be held by the participant without limitation. The fair value of PSUs is based on the closing sale price of our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Company’s common stock on the day prior to the date of issuance.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PSUs vest at the end of their three-year</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performance period. Pay-out levels depend upon the achievement of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performance measures, subject to threshold, target and maximum levels as determined by the Board. PSUs have a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maximum upside payout opportunity of 150%</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of target.</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total share-based payment expense related to PSUs recognized in the unaudited condensed consolidated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interim statements of profit or loss totaled $6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million for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The Company’s first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grant of PSUs was on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9</w:t>
      </w:r>
      <w:bookmarkStart w:id="40" w:name="i9335dc12d48840f48d62cdb6077ed0f0"/>
      <w:bookmarkEnd w:id="40"/>
      <w:r>
        <w:rPr>
          <w:rFonts w:ascii="Arial;sans-serif" w:hAnsi="Arial;sans-serif"/>
          <w:b w:val="false"/>
          <w:i w:val="false"/>
          <w:caps w:val="false"/>
          <w:smallCaps w:val="false"/>
          <w:strike w:val="false"/>
          <w:dstrike w:val="false"/>
          <w:color w:val="91C353"/>
          <w:sz w:val="40"/>
          <w:u w:val="none"/>
          <w:effect w:val="none"/>
        </w:rPr>
        <w:t>Trade and other payables</w:t>
      </w:r>
    </w:p>
    <w:tbl>
      <w:tblPr>
        <w:tblW w:w="5740" w:type="dxa"/>
        <w:jc w:val="left"/>
        <w:tblInd w:w="0" w:type="dxa"/>
        <w:tblLayout w:type="fixed"/>
        <w:tblCellMar>
          <w:top w:w="28" w:type="dxa"/>
          <w:left w:w="28" w:type="dxa"/>
          <w:bottom w:w="28" w:type="dxa"/>
          <w:right w:w="28" w:type="dxa"/>
        </w:tblCellMar>
      </w:tblPr>
      <w:tblGrid>
        <w:gridCol w:w="2536"/>
        <w:gridCol w:w="146"/>
        <w:gridCol w:w="1231"/>
        <w:gridCol w:w="146"/>
        <w:gridCol w:w="168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 of June 30,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As of December 31,</w:t>
            </w:r>
          </w:p>
        </w:tc>
      </w:tr>
      <w:tr>
        <w:trPr/>
        <w:tc>
          <w:tcPr>
            <w:tcW w:w="2536"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31"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68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2025</w:t>
            </w:r>
          </w:p>
        </w:tc>
      </w:tr>
      <w:tr>
        <w:trPr/>
        <w:tc>
          <w:tcPr>
            <w:tcW w:w="253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Trade payables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31"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718</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68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554</w:t>
            </w:r>
          </w:p>
        </w:tc>
      </w:tr>
      <w:tr>
        <w:trPr/>
        <w:tc>
          <w:tcPr>
            <w:tcW w:w="253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Sales rebates and reserves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402</w:t>
            </w:r>
          </w:p>
        </w:tc>
      </w:tr>
      <w:tr>
        <w:trPr/>
        <w:tc>
          <w:tcPr>
            <w:tcW w:w="253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Short</w:t>
              <w:noBreakHyphen/>
              <w:t>term employee benefits</w:t>
            </w:r>
          </w:p>
        </w:tc>
        <w:tc>
          <w:tcPr>
            <w:tcW w:w="146"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231"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197</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212</w:t>
            </w:r>
          </w:p>
        </w:tc>
      </w:tr>
      <w:tr>
        <w:trPr/>
        <w:tc>
          <w:tcPr>
            <w:tcW w:w="253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Other payables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158</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99</w:t>
            </w:r>
          </w:p>
        </w:tc>
      </w:tr>
      <w:tr>
        <w:trPr/>
        <w:tc>
          <w:tcPr>
            <w:tcW w:w="253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trade and other payables</w:t>
            </w:r>
          </w:p>
        </w:tc>
        <w:tc>
          <w:tcPr>
            <w:tcW w:w="1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31"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1,515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1,267</w:t>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carrying amounts of trade and other payables approximate their respective fair values. Trade payables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correspond primarily to research &amp; development, commercial and manufacturing activities and include accrued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expenses related to these activities.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Short-term employee benefits include payables and accruals for salaries and bonuses to be paid to the employees of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the Company.</w:t>
      </w:r>
    </w:p>
    <w:tbl>
      <w:tblPr>
        <w:tblW w:w="7698" w:type="dxa"/>
        <w:jc w:val="left"/>
        <w:tblInd w:w="0" w:type="dxa"/>
        <w:tblLayout w:type="fixed"/>
        <w:tblCellMar>
          <w:top w:w="28" w:type="dxa"/>
          <w:left w:w="28" w:type="dxa"/>
          <w:bottom w:w="28" w:type="dxa"/>
          <w:right w:w="28" w:type="dxa"/>
        </w:tblCellMar>
      </w:tblPr>
      <w:tblGrid>
        <w:gridCol w:w="2551"/>
        <w:gridCol w:w="4846"/>
        <w:gridCol w:w="301"/>
      </w:tblGrid>
      <w:tr>
        <w:trPr/>
        <w:tc>
          <w:tcPr>
            <w:tcW w:w="2551"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8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 xml:space="preserve">Notes to the unaudited condensed consolidated interim financial statements </w:t>
            </w:r>
          </w:p>
        </w:tc>
        <w:tc>
          <w:tcPr>
            <w:tcW w:w="3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17</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single"/>
                  <w:effect w:val="none"/>
                </w:rPr>
                <w:t>Financial Statements</w:t>
              </w:r>
            </w:hyperlink>
          </w:p>
        </w:tc>
        <w:tc>
          <w:tcPr>
            <w:tcW w:w="4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5A5A5A"/>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The following table summarizes the movement in the sales rebates and reserves:</w:t>
      </w:r>
    </w:p>
    <w:tbl>
      <w:tblPr>
        <w:tblW w:w="8401" w:type="dxa"/>
        <w:jc w:val="left"/>
        <w:tblInd w:w="0" w:type="dxa"/>
        <w:tblLayout w:type="fixed"/>
        <w:tblCellMar>
          <w:top w:w="28" w:type="dxa"/>
          <w:left w:w="28" w:type="dxa"/>
          <w:bottom w:w="28" w:type="dxa"/>
          <w:right w:w="28" w:type="dxa"/>
        </w:tblCellMar>
      </w:tblPr>
      <w:tblGrid>
        <w:gridCol w:w="4711"/>
        <w:gridCol w:w="109"/>
        <w:gridCol w:w="1141"/>
        <w:gridCol w:w="109"/>
        <w:gridCol w:w="1096"/>
        <w:gridCol w:w="109"/>
        <w:gridCol w:w="1126"/>
      </w:tblGrid>
      <w:tr>
        <w:trPr/>
        <w:tc>
          <w:tcPr>
            <w:tcW w:w="4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471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Rebates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chargebacks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Distribution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fees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product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returns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5A5A5A"/>
            </w:tcBorders>
            <w:shd w:fill="F2F2F2"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Total sales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 xml:space="preserve">rebates and </w:t>
            </w:r>
          </w:p>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reserves</w:t>
            </w:r>
          </w:p>
        </w:tc>
      </w:tr>
      <w:tr>
        <w:trPr/>
        <w:tc>
          <w:tcPr>
            <w:tcW w:w="471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Balance on January 1, 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402</w:t>
            </w:r>
          </w:p>
        </w:tc>
      </w:tr>
      <w:tr>
        <w:trPr/>
        <w:tc>
          <w:tcPr>
            <w:tcW w:w="471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Current estimate related to the sales made in the current period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736</w:t>
            </w:r>
          </w:p>
        </w:tc>
      </w:tr>
      <w:tr>
        <w:trPr/>
        <w:tc>
          <w:tcPr>
            <w:tcW w:w="471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Adjustment for prior year sales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(45)</w:t>
            </w:r>
          </w:p>
        </w:tc>
      </w:tr>
      <w:tr>
        <w:trPr/>
        <w:tc>
          <w:tcPr>
            <w:tcW w:w="471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Credits or payments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(651)</w:t>
            </w:r>
          </w:p>
        </w:tc>
      </w:tr>
      <w:tr>
        <w:trPr/>
        <w:tc>
          <w:tcPr>
            <w:tcW w:w="471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Foreign currency translation differences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w:t>
            </w:r>
          </w:p>
        </w:tc>
      </w:tr>
      <w:tr>
        <w:trPr/>
        <w:tc>
          <w:tcPr>
            <w:tcW w:w="471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Balance on June 30, 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400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441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10</w:t>
      </w:r>
      <w:bookmarkStart w:id="41" w:name="i5531ff34f437449cab515d160f2b705b"/>
      <w:bookmarkEnd w:id="41"/>
      <w:r>
        <w:rPr>
          <w:rFonts w:ascii="Arial;sans-serif" w:hAnsi="Arial;sans-serif"/>
          <w:b w:val="false"/>
          <w:i w:val="false"/>
          <w:caps w:val="false"/>
          <w:smallCaps w:val="false"/>
          <w:strike w:val="false"/>
          <w:dstrike w:val="false"/>
          <w:color w:val="91C353"/>
          <w:sz w:val="40"/>
          <w:u w:val="none"/>
          <w:effect w:val="none"/>
        </w:rPr>
        <w:t>Segment reporting</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The Company manages its activities and operates as one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business unit which is reflected in its organizational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structure and internal reporting. The Company does not distinguish in its internal reporting different segments, neither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business nor geographical segments. The chief operating decision-maker is the Board of Directors.</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following table summarizes the product net sales by country of sales based on the country of the entity that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recognizes product net sales:</w:t>
      </w:r>
    </w:p>
    <w:tbl>
      <w:tblPr>
        <w:tblW w:w="7754" w:type="dxa"/>
        <w:jc w:val="left"/>
        <w:tblInd w:w="0" w:type="dxa"/>
        <w:tblLayout w:type="fixed"/>
        <w:tblCellMar>
          <w:top w:w="28" w:type="dxa"/>
          <w:left w:w="28" w:type="dxa"/>
          <w:bottom w:w="28" w:type="dxa"/>
          <w:right w:w="28" w:type="dxa"/>
        </w:tblCellMar>
      </w:tblPr>
      <w:tblGrid>
        <w:gridCol w:w="4104"/>
        <w:gridCol w:w="307"/>
        <w:gridCol w:w="1358"/>
        <w:gridCol w:w="387"/>
        <w:gridCol w:w="1598"/>
      </w:tblGrid>
      <w:tr>
        <w:trPr/>
        <w:tc>
          <w:tcPr>
            <w:tcW w:w="410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4104" w:type="dxa"/>
            <w:tcBorders/>
            <w:shd w:fill="FFFFFF" w:val="clear"/>
            <w:vAlign w:val="center"/>
          </w:tcPr>
          <w:p>
            <w:pPr>
              <w:pStyle w:val="TableContents"/>
              <w:bidi w:val="0"/>
              <w:spacing w:before="0" w:after="283"/>
              <w:jc w:val="left"/>
              <w:rPr>
                <w:sz w:val="4"/>
                <w:szCs w:val="4"/>
              </w:rPr>
            </w:pPr>
            <w:r>
              <w:rPr>
                <w:sz w:val="4"/>
                <w:szCs w:val="4"/>
              </w:rPr>
            </w:r>
          </w:p>
        </w:tc>
        <w:tc>
          <w:tcPr>
            <w:tcW w:w="307" w:type="dxa"/>
            <w:tcBorders/>
            <w:shd w:fill="FFFFFF" w:val="clear"/>
            <w:vAlign w:val="center"/>
          </w:tcPr>
          <w:p>
            <w:pPr>
              <w:pStyle w:val="TableContents"/>
              <w:bidi w:val="0"/>
              <w:spacing w:before="0" w:after="283"/>
              <w:jc w:val="left"/>
              <w:rPr>
                <w:sz w:val="4"/>
                <w:szCs w:val="4"/>
              </w:rPr>
            </w:pPr>
            <w:r>
              <w:rPr>
                <w:sz w:val="4"/>
                <w:szCs w:val="4"/>
              </w:rPr>
            </w:r>
          </w:p>
        </w:tc>
        <w:tc>
          <w:tcPr>
            <w:tcW w:w="3343" w:type="dxa"/>
            <w:gridSpan w:val="3"/>
            <w:tcBorders/>
            <w:shd w:fill="FFFFFF" w:val="cle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Six Months Ended</w:t>
            </w:r>
          </w:p>
        </w:tc>
      </w:tr>
      <w:tr>
        <w:trPr/>
        <w:tc>
          <w:tcPr>
            <w:tcW w:w="4104" w:type="dxa"/>
            <w:tcBorders/>
            <w:shd w:fill="FFFFFF" w:val="clear"/>
            <w:vAlign w:val="center"/>
          </w:tcPr>
          <w:p>
            <w:pPr>
              <w:pStyle w:val="TableContents"/>
              <w:bidi w:val="0"/>
              <w:spacing w:before="0" w:after="283"/>
              <w:jc w:val="left"/>
              <w:rPr>
                <w:sz w:val="4"/>
                <w:szCs w:val="4"/>
              </w:rPr>
            </w:pPr>
            <w:r>
              <w:rPr>
                <w:sz w:val="4"/>
                <w:szCs w:val="4"/>
              </w:rPr>
            </w:r>
          </w:p>
        </w:tc>
        <w:tc>
          <w:tcPr>
            <w:tcW w:w="307" w:type="dxa"/>
            <w:tcBorders/>
            <w:shd w:fill="FFFFFF" w:val="clear"/>
            <w:vAlign w:val="center"/>
          </w:tcPr>
          <w:p>
            <w:pPr>
              <w:pStyle w:val="TableContents"/>
              <w:bidi w:val="0"/>
              <w:spacing w:before="0" w:after="283"/>
              <w:jc w:val="left"/>
              <w:rPr>
                <w:sz w:val="4"/>
                <w:szCs w:val="4"/>
              </w:rPr>
            </w:pPr>
            <w:r>
              <w:rPr>
                <w:sz w:val="4"/>
                <w:szCs w:val="4"/>
              </w:rPr>
            </w:r>
          </w:p>
        </w:tc>
        <w:tc>
          <w:tcPr>
            <w:tcW w:w="3343" w:type="dxa"/>
            <w:gridSpan w:val="3"/>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June 30,</w:t>
            </w:r>
          </w:p>
        </w:tc>
      </w:tr>
      <w:tr>
        <w:trPr/>
        <w:tc>
          <w:tcPr>
            <w:tcW w:w="4104"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307"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358"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387" w:type="dxa"/>
            <w:tcBorders>
              <w:top w:val="single" w:sz="8" w:space="0" w:color="5A5A5A"/>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598"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sz w:val="24"/>
              </w:rPr>
            </w:pPr>
            <w:r>
              <w:rPr>
                <w:rFonts w:ascii="Arial;sans-serif" w:hAnsi="Arial;sans-serif"/>
                <w:b/>
                <w:i w:val="false"/>
                <w:caps w:val="false"/>
                <w:smallCaps w:val="false"/>
                <w:strike w:val="false"/>
                <w:dstrike w:val="false"/>
                <w:color w:val="5A5A5A"/>
                <w:sz w:val="16"/>
                <w:u w:val="none"/>
                <w:effect w:val="none"/>
              </w:rPr>
              <w:t>2025</w:t>
            </w:r>
            <w:r>
              <w:rPr>
                <w:rFonts w:ascii="Arial;sans-serif" w:hAnsi="Arial;sans-serif"/>
                <w:b/>
                <w:i w:val="false"/>
                <w:caps w:val="false"/>
                <w:smallCaps w:val="false"/>
                <w:strike w:val="false"/>
                <w:dstrike w:val="false"/>
                <w:color w:val="5A5A5A"/>
                <w:sz w:val="10"/>
                <w:u w:val="none"/>
                <w:effect w:val="none"/>
              </w:rPr>
              <w:t>1)</w:t>
            </w:r>
          </w:p>
        </w:tc>
      </w:tr>
      <w:tr>
        <w:trPr/>
        <w:tc>
          <w:tcPr>
            <w:tcW w:w="4104"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United States</w:t>
            </w:r>
          </w:p>
        </w:tc>
        <w:tc>
          <w:tcPr>
            <w:tcW w:w="307" w:type="dxa"/>
            <w:tcBorders/>
            <w:shd w:fill="FFFFFF" w:val="clear"/>
            <w:vAlign w:val="center"/>
          </w:tcPr>
          <w:p>
            <w:pPr>
              <w:pStyle w:val="TableContents"/>
              <w:bidi w:val="0"/>
              <w:spacing w:before="0" w:after="283"/>
              <w:jc w:val="left"/>
              <w:rPr>
                <w:sz w:val="4"/>
                <w:szCs w:val="4"/>
              </w:rPr>
            </w:pPr>
            <w:r>
              <w:rPr>
                <w:sz w:val="4"/>
                <w:szCs w:val="4"/>
              </w:rPr>
            </w:r>
          </w:p>
        </w:tc>
        <w:tc>
          <w:tcPr>
            <w:tcW w:w="1358"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2,380</w:t>
            </w:r>
          </w:p>
        </w:tc>
        <w:tc>
          <w:tcPr>
            <w:tcW w:w="387"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1,483</w:t>
            </w:r>
          </w:p>
        </w:tc>
      </w:tr>
      <w:tr>
        <w:trPr/>
        <w:tc>
          <w:tcPr>
            <w:tcW w:w="410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Japan</w:t>
            </w:r>
          </w:p>
        </w:tc>
        <w:tc>
          <w:tcPr>
            <w:tcW w:w="307" w:type="dxa"/>
            <w:tcBorders/>
            <w:shd w:fill="FFFFFF" w:val="clear"/>
            <w:vAlign w:val="center"/>
          </w:tcPr>
          <w:p>
            <w:pPr>
              <w:pStyle w:val="TableContents"/>
              <w:bidi w:val="0"/>
              <w:spacing w:before="0" w:after="283"/>
              <w:jc w:val="left"/>
              <w:rPr>
                <w:sz w:val="4"/>
                <w:szCs w:val="4"/>
              </w:rPr>
            </w:pPr>
            <w:r>
              <w:rPr>
                <w:sz w:val="4"/>
                <w:szCs w:val="4"/>
              </w:rPr>
            </w:r>
          </w:p>
        </w:tc>
        <w:tc>
          <w:tcPr>
            <w:tcW w:w="135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169</w:t>
            </w:r>
          </w:p>
        </w:tc>
        <w:tc>
          <w:tcPr>
            <w:tcW w:w="387"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84</w:t>
            </w:r>
          </w:p>
        </w:tc>
      </w:tr>
      <w:tr>
        <w:trPr/>
        <w:tc>
          <w:tcPr>
            <w:tcW w:w="410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China</w:t>
            </w:r>
          </w:p>
        </w:tc>
        <w:tc>
          <w:tcPr>
            <w:tcW w:w="307" w:type="dxa"/>
            <w:tcBorders/>
            <w:shd w:fill="FFFFFF" w:val="clear"/>
            <w:vAlign w:val="center"/>
          </w:tcPr>
          <w:p>
            <w:pPr>
              <w:pStyle w:val="TableContents"/>
              <w:bidi w:val="0"/>
              <w:spacing w:before="0" w:after="283"/>
              <w:jc w:val="left"/>
              <w:rPr>
                <w:sz w:val="4"/>
                <w:szCs w:val="4"/>
              </w:rPr>
            </w:pPr>
            <w:r>
              <w:rPr>
                <w:sz w:val="4"/>
                <w:szCs w:val="4"/>
              </w:rPr>
            </w:r>
          </w:p>
        </w:tc>
        <w:tc>
          <w:tcPr>
            <w:tcW w:w="135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17</w:t>
            </w:r>
          </w:p>
        </w:tc>
        <w:tc>
          <w:tcPr>
            <w:tcW w:w="387"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33</w:t>
            </w:r>
          </w:p>
        </w:tc>
      </w:tr>
      <w:tr>
        <w:trPr/>
        <w:tc>
          <w:tcPr>
            <w:tcW w:w="410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Rest of the World</w:t>
            </w:r>
          </w:p>
        </w:tc>
        <w:tc>
          <w:tcPr>
            <w:tcW w:w="307" w:type="dxa"/>
            <w:tcBorders/>
            <w:shd w:fill="FFFFFF" w:val="clear"/>
            <w:vAlign w:val="center"/>
          </w:tcPr>
          <w:p>
            <w:pPr>
              <w:pStyle w:val="TableContents"/>
              <w:bidi w:val="0"/>
              <w:spacing w:before="0" w:after="283"/>
              <w:jc w:val="left"/>
              <w:rPr>
                <w:sz w:val="4"/>
                <w:szCs w:val="4"/>
              </w:rPr>
            </w:pPr>
            <w:r>
              <w:rPr>
                <w:sz w:val="4"/>
                <w:szCs w:val="4"/>
              </w:rPr>
            </w:r>
          </w:p>
        </w:tc>
        <w:tc>
          <w:tcPr>
            <w:tcW w:w="1358"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247</w:t>
            </w:r>
          </w:p>
        </w:tc>
        <w:tc>
          <w:tcPr>
            <w:tcW w:w="387"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139</w:t>
            </w:r>
          </w:p>
        </w:tc>
      </w:tr>
      <w:tr>
        <w:trPr/>
        <w:tc>
          <w:tcPr>
            <w:tcW w:w="4104"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product net sales</w:t>
            </w:r>
          </w:p>
        </w:tc>
        <w:tc>
          <w:tcPr>
            <w:tcW w:w="307"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358"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2,813</w:t>
            </w:r>
          </w:p>
        </w:tc>
        <w:tc>
          <w:tcPr>
            <w:tcW w:w="387"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59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1,739</w:t>
            </w:r>
          </w:p>
        </w:tc>
      </w:tr>
      <w:tr>
        <w:trPr/>
        <w:tc>
          <w:tcPr>
            <w:tcW w:w="4104"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vAlign w:val="center"/>
          </w:tcPr>
          <w:p>
            <w:pPr>
              <w:pStyle w:val="TableContents"/>
              <w:bidi w:val="0"/>
              <w:spacing w:before="0" w:after="283"/>
              <w:jc w:val="left"/>
              <w:rPr>
                <w:sz w:val="4"/>
                <w:szCs w:val="4"/>
              </w:rPr>
            </w:pPr>
            <w:r>
              <w:rPr>
                <w:sz w:val="4"/>
                <w:szCs w:val="4"/>
              </w:rPr>
            </w:r>
          </w:p>
        </w:tc>
        <w:tc>
          <w:tcPr>
            <w:tcW w:w="1358"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4" w:type="dxa"/>
            <w:gridSpan w:val="5"/>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5A5A5A"/>
                <w:sz w:val="13"/>
                <w:u w:val="none"/>
                <w:effect w:val="none"/>
              </w:rPr>
            </w:pPr>
            <w:r>
              <w:rPr>
                <w:rFonts w:ascii="Arial;sans-serif" w:hAnsi="Arial;sans-serif"/>
                <w:b w:val="false"/>
                <w:i w:val="false"/>
                <w:caps w:val="false"/>
                <w:smallCaps w:val="false"/>
                <w:strike w:val="false"/>
                <w:dstrike w:val="false"/>
                <w:color w:val="5A5A5A"/>
                <w:sz w:val="13"/>
                <w:u w:val="none"/>
                <w:effect w:val="none"/>
              </w:rPr>
              <w:t xml:space="preserve">1)Comparative figures have been presented to be consistent with the one adopted in the Company’s latest Annual Report. </w:t>
            </w:r>
          </w:p>
        </w:tc>
      </w:tr>
    </w:tbl>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The Company sells its products through a limited number of distributors and wholesalers. Three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U.S. customers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represent approximately 72% of the product net sales during the six 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(compared to five</w:t>
      </w:r>
      <w:r>
        <w:rPr>
          <w:caps w:val="false"/>
          <w:smallCaps w:val="false"/>
          <w:strike w:val="false"/>
          <w:dstrike w:val="false"/>
          <w:color w:val="5A5A5A"/>
          <w:sz w:val="24"/>
          <w:u w:val="none"/>
          <w:effect w:val="none"/>
        </w:rPr>
        <w:t xml:space="preserv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U.S. customers representing 85% for the same period in 2025).</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Product net sales in the Netherlands, the Company’s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country of domicile, are not material.</w:t>
      </w:r>
    </w:p>
    <w:tbl>
      <w:tblPr>
        <w:tblW w:w="7698" w:type="dxa"/>
        <w:jc w:val="left"/>
        <w:tblInd w:w="0" w:type="dxa"/>
        <w:tblLayout w:type="fixed"/>
        <w:tblCellMar>
          <w:top w:w="28" w:type="dxa"/>
          <w:left w:w="28" w:type="dxa"/>
          <w:bottom w:w="28" w:type="dxa"/>
          <w:right w:w="28" w:type="dxa"/>
        </w:tblCellMar>
      </w:tblPr>
      <w:tblGrid>
        <w:gridCol w:w="2551"/>
        <w:gridCol w:w="4846"/>
        <w:gridCol w:w="301"/>
      </w:tblGrid>
      <w:tr>
        <w:trPr/>
        <w:tc>
          <w:tcPr>
            <w:tcW w:w="2551"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8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 xml:space="preserve">Notes to the unaudited condensed consolidated interim financial statements </w:t>
            </w:r>
          </w:p>
        </w:tc>
        <w:tc>
          <w:tcPr>
            <w:tcW w:w="3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18</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single"/>
                  <w:effect w:val="none"/>
                </w:rPr>
                <w:t>Financial Statements</w:t>
              </w:r>
            </w:hyperlink>
          </w:p>
        </w:tc>
        <w:tc>
          <w:tcPr>
            <w:tcW w:w="4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5A5A5A"/>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11</w:t>
      </w:r>
      <w:bookmarkStart w:id="42" w:name="i94acb2e62d614d1796de0f68c55a0bf5"/>
      <w:bookmarkEnd w:id="42"/>
      <w:r>
        <w:rPr>
          <w:rFonts w:ascii="Arial;sans-serif" w:hAnsi="Arial;sans-serif"/>
          <w:b w:val="false"/>
          <w:i w:val="false"/>
          <w:caps w:val="false"/>
          <w:smallCaps w:val="false"/>
          <w:strike w:val="false"/>
          <w:dstrike w:val="false"/>
          <w:color w:val="91C353"/>
          <w:sz w:val="40"/>
          <w:u w:val="none"/>
          <w:effect w:val="none"/>
        </w:rPr>
        <w:t>Research and development expenses</w:t>
      </w:r>
    </w:p>
    <w:tbl>
      <w:tblPr>
        <w:tblW w:w="6479" w:type="dxa"/>
        <w:jc w:val="left"/>
        <w:tblInd w:w="0" w:type="dxa"/>
        <w:tblLayout w:type="fixed"/>
        <w:tblCellMar>
          <w:top w:w="28" w:type="dxa"/>
          <w:left w:w="28" w:type="dxa"/>
          <w:bottom w:w="28" w:type="dxa"/>
          <w:right w:w="28" w:type="dxa"/>
        </w:tblCellMar>
      </w:tblPr>
      <w:tblGrid>
        <w:gridCol w:w="4324"/>
        <w:gridCol w:w="181"/>
        <w:gridCol w:w="759"/>
        <w:gridCol w:w="237"/>
        <w:gridCol w:w="978"/>
      </w:tblGrid>
      <w:tr>
        <w:trPr/>
        <w:tc>
          <w:tcPr>
            <w:tcW w:w="43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1974" w:type="dxa"/>
            <w:gridSpan w:val="3"/>
            <w:tcBorders/>
            <w:shd w:fill="FFFFFF" w:val="cle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Six Months Ended</w:t>
            </w:r>
          </w:p>
        </w:tc>
      </w:tr>
      <w:tr>
        <w:trPr/>
        <w:tc>
          <w:tcPr>
            <w:tcW w:w="4324"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1974" w:type="dxa"/>
            <w:gridSpan w:val="3"/>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June 30,</w:t>
            </w:r>
          </w:p>
        </w:tc>
      </w:tr>
      <w:tr>
        <w:trPr/>
        <w:tc>
          <w:tcPr>
            <w:tcW w:w="4324"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8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59"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237" w:type="dxa"/>
            <w:tcBorders>
              <w:top w:val="single" w:sz="8" w:space="0" w:color="5A5A5A"/>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78"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sz w:val="24"/>
              </w:rPr>
            </w:pPr>
            <w:r>
              <w:rPr>
                <w:rFonts w:ascii="Arial;sans-serif" w:hAnsi="Arial;sans-serif"/>
                <w:b/>
                <w:i w:val="false"/>
                <w:caps w:val="false"/>
                <w:smallCaps w:val="false"/>
                <w:strike w:val="false"/>
                <w:dstrike w:val="false"/>
                <w:color w:val="5A5A5A"/>
                <w:sz w:val="16"/>
                <w:u w:val="none"/>
                <w:effect w:val="none"/>
              </w:rPr>
              <w:t>2025</w:t>
            </w:r>
            <w:r>
              <w:rPr>
                <w:rFonts w:ascii="Arial;sans-serif" w:hAnsi="Arial;sans-serif"/>
                <w:b/>
                <w:i w:val="false"/>
                <w:caps w:val="false"/>
                <w:smallCaps w:val="false"/>
                <w:strike w:val="false"/>
                <w:dstrike w:val="false"/>
                <w:color w:val="5A5A5A"/>
                <w:sz w:val="10"/>
                <w:u w:val="none"/>
                <w:effect w:val="none"/>
              </w:rPr>
              <w:t>1)</w:t>
            </w:r>
          </w:p>
        </w:tc>
      </w:tr>
      <w:tr>
        <w:trPr/>
        <w:tc>
          <w:tcPr>
            <w:tcW w:w="4324"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External research and development expenses</w:t>
            </w:r>
          </w:p>
        </w:tc>
        <w:tc>
          <w:tcPr>
            <w:tcW w:w="181"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59"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616</w:t>
            </w:r>
          </w:p>
        </w:tc>
        <w:tc>
          <w:tcPr>
            <w:tcW w:w="237"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7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416</w:t>
            </w:r>
          </w:p>
        </w:tc>
      </w:tr>
      <w:tr>
        <w:trPr/>
        <w:tc>
          <w:tcPr>
            <w:tcW w:w="432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Personnel expenses</w:t>
            </w:r>
          </w:p>
        </w:tc>
        <w:tc>
          <w:tcPr>
            <w:tcW w:w="181"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59"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224</w:t>
            </w:r>
          </w:p>
        </w:tc>
        <w:tc>
          <w:tcPr>
            <w:tcW w:w="237"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168</w:t>
            </w:r>
          </w:p>
        </w:tc>
      </w:tr>
      <w:tr>
        <w:trPr/>
        <w:tc>
          <w:tcPr>
            <w:tcW w:w="432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Digital technology expenses</w:t>
            </w:r>
          </w:p>
        </w:tc>
        <w:tc>
          <w:tcPr>
            <w:tcW w:w="181"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59"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45</w:t>
            </w:r>
          </w:p>
        </w:tc>
        <w:tc>
          <w:tcPr>
            <w:tcW w:w="237"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26</w:t>
            </w:r>
          </w:p>
        </w:tc>
      </w:tr>
      <w:tr>
        <w:trPr/>
        <w:tc>
          <w:tcPr>
            <w:tcW w:w="432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Materials and consumables</w:t>
            </w:r>
          </w:p>
        </w:tc>
        <w:tc>
          <w:tcPr>
            <w:tcW w:w="181"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59"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w:t>
            </w:r>
          </w:p>
        </w:tc>
        <w:tc>
          <w:tcPr>
            <w:tcW w:w="237"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w:t>
            </w:r>
          </w:p>
        </w:tc>
      </w:tr>
      <w:tr>
        <w:trPr/>
        <w:tc>
          <w:tcPr>
            <w:tcW w:w="432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Depreciation and amortization</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w:t>
            </w:r>
          </w:p>
        </w:tc>
        <w:tc>
          <w:tcPr>
            <w:tcW w:w="237"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w:t>
            </w:r>
          </w:p>
        </w:tc>
      </w:tr>
      <w:tr>
        <w:trPr/>
        <w:tc>
          <w:tcPr>
            <w:tcW w:w="4324"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Other expenses</w:t>
            </w:r>
          </w:p>
        </w:tc>
        <w:tc>
          <w:tcPr>
            <w:tcW w:w="181"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59"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31</w:t>
            </w:r>
          </w:p>
        </w:tc>
        <w:tc>
          <w:tcPr>
            <w:tcW w:w="237"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9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22</w:t>
            </w:r>
          </w:p>
        </w:tc>
      </w:tr>
      <w:tr>
        <w:trPr/>
        <w:tc>
          <w:tcPr>
            <w:tcW w:w="4324"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research and development expenses</w:t>
            </w:r>
          </w:p>
        </w:tc>
        <w:tc>
          <w:tcPr>
            <w:tcW w:w="181"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759"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929</w:t>
            </w:r>
          </w:p>
        </w:tc>
        <w:tc>
          <w:tcPr>
            <w:tcW w:w="237" w:type="dxa"/>
            <w:tcBorders/>
            <w:shd w:fill="FFFFFF" w:val="clear"/>
            <w:vAlign w:val="center"/>
          </w:tcPr>
          <w:p>
            <w:pPr>
              <w:pStyle w:val="TableContents"/>
              <w:bidi w:val="0"/>
              <w:spacing w:before="0" w:after="283"/>
              <w:jc w:val="left"/>
              <w:rPr>
                <w:sz w:val="4"/>
                <w:szCs w:val="4"/>
              </w:rPr>
            </w:pPr>
            <w:r>
              <w:rPr>
                <w:sz w:val="4"/>
                <w:szCs w:val="4"/>
              </w:rPr>
            </w:r>
          </w:p>
        </w:tc>
        <w:tc>
          <w:tcPr>
            <w:tcW w:w="978"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642</w:t>
            </w:r>
          </w:p>
        </w:tc>
      </w:tr>
      <w:tr>
        <w:trPr/>
        <w:tc>
          <w:tcPr>
            <w:tcW w:w="4324"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vAlign w:val="center"/>
          </w:tcPr>
          <w:p>
            <w:pPr>
              <w:pStyle w:val="TableContents"/>
              <w:bidi w:val="0"/>
              <w:spacing w:before="0" w:after="283"/>
              <w:jc w:val="left"/>
              <w:rPr>
                <w:sz w:val="4"/>
                <w:szCs w:val="4"/>
              </w:rPr>
            </w:pPr>
            <w:r>
              <w:rPr>
                <w:sz w:val="4"/>
                <w:szCs w:val="4"/>
              </w:rPr>
            </w:r>
          </w:p>
        </w:tc>
        <w:tc>
          <w:tcPr>
            <w:tcW w:w="978"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5"/>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5A5A5A"/>
                <w:sz w:val="13"/>
                <w:u w:val="none"/>
                <w:effect w:val="none"/>
              </w:rPr>
            </w:pPr>
            <w:r>
              <w:rPr>
                <w:rFonts w:ascii="Arial;sans-serif" w:hAnsi="Arial;sans-serif"/>
                <w:b w:val="false"/>
                <w:i w:val="false"/>
                <w:caps w:val="false"/>
                <w:smallCaps w:val="false"/>
                <w:strike w:val="false"/>
                <w:dstrike w:val="false"/>
                <w:color w:val="5A5A5A"/>
                <w:sz w:val="13"/>
                <w:u w:val="none"/>
                <w:effect w:val="none"/>
              </w:rPr>
              <w:t>1)Comparative figures have been presented to be consistent with the one adopted in the current year.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12</w:t>
      </w:r>
      <w:bookmarkStart w:id="43" w:name="i9f0621241cbd496a8cbbb199af5848da"/>
      <w:bookmarkEnd w:id="43"/>
      <w:r>
        <w:rPr>
          <w:rFonts w:ascii="Arial;sans-serif" w:hAnsi="Arial;sans-serif"/>
          <w:b w:val="false"/>
          <w:i w:val="false"/>
          <w:caps w:val="false"/>
          <w:smallCaps w:val="false"/>
          <w:strike w:val="false"/>
          <w:dstrike w:val="false"/>
          <w:color w:val="91C353"/>
          <w:sz w:val="40"/>
          <w:u w:val="none"/>
          <w:effect w:val="none"/>
        </w:rPr>
        <w:t>Selling, general and administrative expenses</w:t>
      </w:r>
    </w:p>
    <w:tbl>
      <w:tblPr>
        <w:tblW w:w="7663" w:type="dxa"/>
        <w:jc w:val="left"/>
        <w:tblInd w:w="0" w:type="dxa"/>
        <w:tblLayout w:type="fixed"/>
        <w:tblCellMar>
          <w:top w:w="28" w:type="dxa"/>
          <w:left w:w="28" w:type="dxa"/>
          <w:bottom w:w="28" w:type="dxa"/>
          <w:right w:w="28" w:type="dxa"/>
        </w:tblCellMar>
      </w:tblPr>
      <w:tblGrid>
        <w:gridCol w:w="5378"/>
        <w:gridCol w:w="192"/>
        <w:gridCol w:w="766"/>
        <w:gridCol w:w="239"/>
        <w:gridCol w:w="1088"/>
      </w:tblGrid>
      <w:tr>
        <w:trPr/>
        <w:tc>
          <w:tcPr>
            <w:tcW w:w="537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5378" w:type="dxa"/>
            <w:tcBorders/>
            <w:shd w:fill="FFFFFF" w:val="clear"/>
            <w:vAlign w:val="center"/>
          </w:tcPr>
          <w:p>
            <w:pPr>
              <w:pStyle w:val="TableContents"/>
              <w:bidi w:val="0"/>
              <w:spacing w:before="0" w:after="283"/>
              <w:jc w:val="left"/>
              <w:rPr>
                <w:sz w:val="4"/>
                <w:szCs w:val="4"/>
              </w:rPr>
            </w:pPr>
            <w:r>
              <w:rPr>
                <w:sz w:val="4"/>
                <w:szCs w:val="4"/>
              </w:rPr>
            </w:r>
          </w:p>
        </w:tc>
        <w:tc>
          <w:tcPr>
            <w:tcW w:w="192" w:type="dxa"/>
            <w:tcBorders/>
            <w:shd w:fill="FFFFFF" w:val="cle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Six Months Ended</w:t>
            </w:r>
          </w:p>
        </w:tc>
      </w:tr>
      <w:tr>
        <w:trPr/>
        <w:tc>
          <w:tcPr>
            <w:tcW w:w="5378" w:type="dxa"/>
            <w:tcBorders/>
            <w:shd w:fill="FFFFFF" w:val="clear"/>
            <w:vAlign w:val="center"/>
          </w:tcPr>
          <w:p>
            <w:pPr>
              <w:pStyle w:val="TableContents"/>
              <w:bidi w:val="0"/>
              <w:spacing w:before="0" w:after="283"/>
              <w:jc w:val="left"/>
              <w:rPr>
                <w:sz w:val="4"/>
                <w:szCs w:val="4"/>
              </w:rPr>
            </w:pPr>
            <w:r>
              <w:rPr>
                <w:sz w:val="4"/>
                <w:szCs w:val="4"/>
              </w:rPr>
            </w:r>
          </w:p>
        </w:tc>
        <w:tc>
          <w:tcPr>
            <w:tcW w:w="192" w:type="dxa"/>
            <w:tcBorders/>
            <w:shd w:fill="FFFFFF" w:val="clear"/>
            <w:vAlign w:val="center"/>
          </w:tcPr>
          <w:p>
            <w:pPr>
              <w:pStyle w:val="TableContents"/>
              <w:bidi w:val="0"/>
              <w:spacing w:before="0" w:after="283"/>
              <w:jc w:val="left"/>
              <w:rPr>
                <w:sz w:val="4"/>
                <w:szCs w:val="4"/>
              </w:rPr>
            </w:pPr>
            <w:r>
              <w:rPr>
                <w:sz w:val="4"/>
                <w:szCs w:val="4"/>
              </w:rPr>
            </w:r>
          </w:p>
        </w:tc>
        <w:tc>
          <w:tcPr>
            <w:tcW w:w="2093" w:type="dxa"/>
            <w:gridSpan w:val="3"/>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June 30,</w:t>
            </w:r>
          </w:p>
        </w:tc>
      </w:tr>
      <w:tr>
        <w:trPr/>
        <w:tc>
          <w:tcPr>
            <w:tcW w:w="5378"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92"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66"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239" w:type="dxa"/>
            <w:tcBorders>
              <w:top w:val="single" w:sz="8" w:space="0" w:color="5A5A5A"/>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88"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sz w:val="24"/>
              </w:rPr>
            </w:pPr>
            <w:r>
              <w:rPr>
                <w:rFonts w:ascii="Arial;sans-serif" w:hAnsi="Arial;sans-serif"/>
                <w:b/>
                <w:i w:val="false"/>
                <w:caps w:val="false"/>
                <w:smallCaps w:val="false"/>
                <w:strike w:val="false"/>
                <w:dstrike w:val="false"/>
                <w:color w:val="5A5A5A"/>
                <w:sz w:val="16"/>
                <w:u w:val="none"/>
                <w:effect w:val="none"/>
              </w:rPr>
              <w:t>2025</w:t>
            </w:r>
            <w:r>
              <w:rPr>
                <w:caps w:val="false"/>
                <w:smallCaps w:val="false"/>
                <w:strike w:val="false"/>
                <w:dstrike w:val="false"/>
                <w:color w:val="5A5A5A"/>
                <w:sz w:val="24"/>
                <w:u w:val="none"/>
                <w:effect w:val="none"/>
              </w:rPr>
              <w:t xml:space="preserve"> </w:t>
            </w:r>
            <w:r>
              <w:rPr>
                <w:rFonts w:ascii="Arial;sans-serif" w:hAnsi="Arial;sans-serif"/>
                <w:b/>
                <w:i w:val="false"/>
                <w:caps w:val="false"/>
                <w:smallCaps w:val="false"/>
                <w:strike w:val="false"/>
                <w:dstrike w:val="false"/>
                <w:color w:val="5A5A5A"/>
                <w:sz w:val="10"/>
                <w:u w:val="none"/>
                <w:effect w:val="none"/>
              </w:rPr>
              <w:t>1)</w:t>
            </w:r>
          </w:p>
        </w:tc>
      </w:tr>
      <w:tr>
        <w:trPr/>
        <w:tc>
          <w:tcPr>
            <w:tcW w:w="537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Personnel expenses</w:t>
            </w:r>
          </w:p>
        </w:tc>
        <w:tc>
          <w:tcPr>
            <w:tcW w:w="192"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66"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282</w:t>
            </w:r>
          </w:p>
        </w:tc>
        <w:tc>
          <w:tcPr>
            <w:tcW w:w="239" w:type="dxa"/>
            <w:tcBorders/>
            <w:shd w:fill="FFFFFF" w:val="clear"/>
            <w:vAlign w:val="center"/>
          </w:tcPr>
          <w:p>
            <w:pPr>
              <w:pStyle w:val="TableContents"/>
              <w:bidi w:val="0"/>
              <w:spacing w:lineRule="atLeast" w:line="160" w:before="0" w:after="0"/>
              <w:jc w:val="left"/>
              <w:rPr>
                <w:caps w:val="false"/>
                <w:smallCaps w:val="false"/>
                <w:strike w:val="false"/>
                <w:dstrike w:val="false"/>
                <w:color w:val="5A5A5A"/>
                <w:u w:val="none"/>
                <w:effect w:val="none"/>
              </w:rPr>
            </w:pPr>
            <w:r>
              <w:rPr>
                <w:caps w:val="false"/>
                <w:smallCaps w:val="false"/>
                <w:strike w:val="false"/>
                <w:dstrike w:val="false"/>
                <w:color w:val="5A5A5A"/>
                <w:u w:val="none"/>
                <w:effect w:val="none"/>
              </w:rPr>
              <w:t> </w:t>
            </w:r>
          </w:p>
        </w:tc>
        <w:tc>
          <w:tcPr>
            <w:tcW w:w="108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225</w:t>
            </w:r>
          </w:p>
        </w:tc>
      </w:tr>
      <w:tr>
        <w:trPr/>
        <w:tc>
          <w:tcPr>
            <w:tcW w:w="53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Marketing services</w:t>
            </w:r>
          </w:p>
        </w:tc>
        <w:tc>
          <w:tcPr>
            <w:tcW w:w="192"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240</w:t>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178</w:t>
            </w:r>
          </w:p>
        </w:tc>
      </w:tr>
      <w:tr>
        <w:trPr/>
        <w:tc>
          <w:tcPr>
            <w:tcW w:w="53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Professional fees</w:t>
            </w:r>
          </w:p>
        </w:tc>
        <w:tc>
          <w:tcPr>
            <w:tcW w:w="192"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145</w:t>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106</w:t>
            </w:r>
          </w:p>
        </w:tc>
      </w:tr>
      <w:tr>
        <w:trPr/>
        <w:tc>
          <w:tcPr>
            <w:tcW w:w="53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Digital technology expenses</w:t>
            </w:r>
          </w:p>
        </w:tc>
        <w:tc>
          <w:tcPr>
            <w:tcW w:w="192"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36</w:t>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21</w:t>
            </w:r>
          </w:p>
        </w:tc>
      </w:tr>
      <w:tr>
        <w:trPr/>
        <w:tc>
          <w:tcPr>
            <w:tcW w:w="53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Distribution and commercial support expenses</w:t>
            </w:r>
          </w:p>
        </w:tc>
        <w:tc>
          <w:tcPr>
            <w:tcW w:w="192"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18</w:t>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14</w:t>
            </w:r>
          </w:p>
        </w:tc>
      </w:tr>
      <w:tr>
        <w:trPr/>
        <w:tc>
          <w:tcPr>
            <w:tcW w:w="53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Facilities and occupancy expenses</w:t>
            </w:r>
          </w:p>
        </w:tc>
        <w:tc>
          <w:tcPr>
            <w:tcW w:w="192"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w:t>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w:t>
            </w:r>
          </w:p>
        </w:tc>
      </w:tr>
      <w:tr>
        <w:trPr/>
        <w:tc>
          <w:tcPr>
            <w:tcW w:w="53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Supervisory board</w:t>
            </w:r>
          </w:p>
        </w:tc>
        <w:tc>
          <w:tcPr>
            <w:tcW w:w="192"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w:t>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9</w:t>
            </w:r>
          </w:p>
        </w:tc>
      </w:tr>
      <w:tr>
        <w:trPr/>
        <w:tc>
          <w:tcPr>
            <w:tcW w:w="537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Depreciation and amortization</w:t>
            </w:r>
          </w:p>
        </w:tc>
        <w:tc>
          <w:tcPr>
            <w:tcW w:w="192"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5</w:t>
            </w:r>
          </w:p>
        </w:tc>
        <w:tc>
          <w:tcPr>
            <w:tcW w:w="23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w:t>
            </w:r>
          </w:p>
        </w:tc>
      </w:tr>
      <w:tr>
        <w:trPr/>
        <w:tc>
          <w:tcPr>
            <w:tcW w:w="5378"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Other expenses</w:t>
            </w:r>
          </w:p>
        </w:tc>
        <w:tc>
          <w:tcPr>
            <w:tcW w:w="192" w:type="dxa"/>
            <w:tcBorders/>
            <w:vAlign w:val="center"/>
          </w:tcPr>
          <w:p>
            <w:pPr>
              <w:pStyle w:val="TableContents"/>
              <w:bidi w:val="0"/>
              <w:spacing w:before="0" w:after="283"/>
              <w:jc w:val="left"/>
              <w:rPr>
                <w:sz w:val="4"/>
                <w:szCs w:val="4"/>
              </w:rPr>
            </w:pPr>
            <w:r>
              <w:rPr>
                <w:sz w:val="4"/>
                <w:szCs w:val="4"/>
              </w:rPr>
            </w:r>
          </w:p>
        </w:tc>
        <w:tc>
          <w:tcPr>
            <w:tcW w:w="76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26</w:t>
            </w:r>
          </w:p>
        </w:tc>
        <w:tc>
          <w:tcPr>
            <w:tcW w:w="239" w:type="dxa"/>
            <w:tcBorders/>
            <w:vAlign w:val="center"/>
          </w:tcPr>
          <w:p>
            <w:pPr>
              <w:pStyle w:val="TableContents"/>
              <w:bidi w:val="0"/>
              <w:spacing w:before="0" w:after="283"/>
              <w:jc w:val="left"/>
              <w:rPr>
                <w:sz w:val="4"/>
                <w:szCs w:val="4"/>
              </w:rPr>
            </w:pPr>
            <w:r>
              <w:rPr>
                <w:sz w:val="4"/>
                <w:szCs w:val="4"/>
              </w:rPr>
            </w:r>
          </w:p>
        </w:tc>
        <w:tc>
          <w:tcPr>
            <w:tcW w:w="1088"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36</w:t>
            </w:r>
          </w:p>
        </w:tc>
      </w:tr>
      <w:tr>
        <w:trPr/>
        <w:tc>
          <w:tcPr>
            <w:tcW w:w="5378"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Total selling, general and administrative expenses</w:t>
            </w:r>
          </w:p>
        </w:tc>
        <w:tc>
          <w:tcPr>
            <w:tcW w:w="192" w:type="dxa"/>
            <w:tcBorders/>
            <w:vAlign w:val="center"/>
          </w:tcPr>
          <w:p>
            <w:pPr>
              <w:pStyle w:val="TableContents"/>
              <w:bidi w:val="0"/>
              <w:spacing w:before="0" w:after="283"/>
              <w:jc w:val="left"/>
              <w:rPr>
                <w:sz w:val="4"/>
                <w:szCs w:val="4"/>
              </w:rPr>
            </w:pPr>
            <w:r>
              <w:rPr>
                <w:sz w:val="4"/>
                <w:szCs w:val="4"/>
              </w:rPr>
            </w:r>
          </w:p>
        </w:tc>
        <w:tc>
          <w:tcPr>
            <w:tcW w:w="766"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772</w:t>
            </w:r>
          </w:p>
        </w:tc>
        <w:tc>
          <w:tcPr>
            <w:tcW w:w="239" w:type="dxa"/>
            <w:tcBorders/>
            <w:vAlign w:val="center"/>
          </w:tcPr>
          <w:p>
            <w:pPr>
              <w:pStyle w:val="TableContents"/>
              <w:bidi w:val="0"/>
              <w:spacing w:before="0" w:after="283"/>
              <w:jc w:val="left"/>
              <w:rPr>
                <w:sz w:val="4"/>
                <w:szCs w:val="4"/>
              </w:rPr>
            </w:pPr>
            <w:r>
              <w:rPr>
                <w:sz w:val="4"/>
                <w:szCs w:val="4"/>
              </w:rPr>
            </w:r>
          </w:p>
        </w:tc>
        <w:tc>
          <w:tcPr>
            <w:tcW w:w="1088"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601</w:t>
            </w:r>
          </w:p>
        </w:tc>
      </w:tr>
      <w:tr>
        <w:trPr/>
        <w:tc>
          <w:tcPr>
            <w:tcW w:w="5378"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66"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88" w:type="dxa"/>
            <w:tcBorders>
              <w:top w:val="single" w:sz="8" w:space="0" w:color="5A5A5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5"/>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trike w:val="false"/>
                <w:dstrike w:val="false"/>
                <w:color w:val="5A5A5A"/>
                <w:sz w:val="9"/>
                <w:u w:val="none"/>
                <w:effect w:val="none"/>
              </w:rPr>
              <w:t>1)</w:t>
            </w:r>
            <w:r>
              <w:rPr>
                <w:rFonts w:ascii="Arial;sans-serif" w:hAnsi="Arial;sans-serif"/>
                <w:b w:val="false"/>
                <w:i w:val="false"/>
                <w:caps w:val="false"/>
                <w:smallCaps w:val="false"/>
                <w:strike w:val="false"/>
                <w:dstrike w:val="false"/>
                <w:color w:val="5A5A5A"/>
                <w:sz w:val="13"/>
                <w:u w:val="none"/>
                <w:effect w:val="none"/>
              </w:rPr>
              <w:t>Comparative figures have been presented to be consistent with the one adopted in the Company’s latest Annual Report.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13</w:t>
      </w:r>
      <w:bookmarkStart w:id="44" w:name="i05e19ec8794c4134b3049fe4111514f5"/>
      <w:bookmarkEnd w:id="44"/>
      <w:r>
        <w:rPr>
          <w:rFonts w:ascii="Arial;sans-serif" w:hAnsi="Arial;sans-serif"/>
          <w:b w:val="false"/>
          <w:i w:val="false"/>
          <w:caps w:val="false"/>
          <w:smallCaps w:val="false"/>
          <w:strike w:val="false"/>
          <w:dstrike w:val="false"/>
          <w:color w:val="91C353"/>
          <w:sz w:val="40"/>
          <w:u w:val="none"/>
          <w:effect w:val="none"/>
        </w:rPr>
        <w:t>Income taxes</w:t>
      </w:r>
    </w:p>
    <w:tbl>
      <w:tblPr>
        <w:tblW w:w="4625" w:type="dxa"/>
        <w:jc w:val="left"/>
        <w:tblInd w:w="0" w:type="dxa"/>
        <w:tblLayout w:type="fixed"/>
        <w:tblCellMar>
          <w:top w:w="28" w:type="dxa"/>
          <w:left w:w="28" w:type="dxa"/>
          <w:bottom w:w="28" w:type="dxa"/>
          <w:right w:w="28" w:type="dxa"/>
        </w:tblCellMar>
      </w:tblPr>
      <w:tblGrid>
        <w:gridCol w:w="2926"/>
        <w:gridCol w:w="109"/>
        <w:gridCol w:w="707"/>
        <w:gridCol w:w="155"/>
        <w:gridCol w:w="728"/>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Six Months Ended</w:t>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June 30,</w:t>
            </w:r>
          </w:p>
        </w:tc>
      </w:tr>
      <w:tr>
        <w:trPr/>
        <w:tc>
          <w:tcPr>
            <w:tcW w:w="2926"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7"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155"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2025</w:t>
            </w:r>
          </w:p>
        </w:tc>
      </w:tr>
      <w:tr>
        <w:trPr/>
        <w:tc>
          <w:tcPr>
            <w:tcW w:w="2926"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Current income tax expense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7"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(230)</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(70)</w:t>
            </w:r>
          </w:p>
        </w:tc>
      </w:tr>
      <w:tr>
        <w:trPr/>
        <w:tc>
          <w:tcPr>
            <w:tcW w:w="2926"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Deferred income tax benefit/(expense)</w:t>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110</w:t>
            </w:r>
          </w:p>
        </w:tc>
        <w:tc>
          <w:tcPr>
            <w:tcW w:w="155" w:type="dxa"/>
            <w:tcBorders/>
            <w:vAlign w:val="center"/>
          </w:tcPr>
          <w:p>
            <w:pPr>
              <w:pStyle w:val="TableContents"/>
              <w:bidi w:val="0"/>
              <w:spacing w:before="0" w:after="283"/>
              <w:jc w:val="left"/>
              <w:rPr>
                <w:sz w:val="4"/>
                <w:szCs w:val="4"/>
              </w:rPr>
            </w:pPr>
            <w:r>
              <w:rPr>
                <w:sz w:val="4"/>
                <w:szCs w:val="4"/>
              </w:rPr>
            </w:r>
          </w:p>
        </w:tc>
        <w:tc>
          <w:tcPr>
            <w:tcW w:w="728" w:type="dxa"/>
            <w:tcBorders>
              <w:top w:val="single" w:sz="4" w:space="0" w:color="5A5A5A"/>
              <w:bottom w:val="single" w:sz="4"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w:t>
            </w:r>
          </w:p>
        </w:tc>
      </w:tr>
      <w:tr>
        <w:trPr/>
        <w:tc>
          <w:tcPr>
            <w:tcW w:w="2926"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(119)</w:t>
            </w:r>
          </w:p>
        </w:tc>
        <w:tc>
          <w:tcPr>
            <w:tcW w:w="155" w:type="dxa"/>
            <w:tcBorders/>
            <w:vAlign w:val="center"/>
          </w:tcPr>
          <w:p>
            <w:pPr>
              <w:pStyle w:val="TableContents"/>
              <w:bidi w:val="0"/>
              <w:spacing w:before="0" w:after="283"/>
              <w:jc w:val="left"/>
              <w:rPr>
                <w:sz w:val="4"/>
                <w:szCs w:val="4"/>
              </w:rPr>
            </w:pPr>
            <w:r>
              <w:rPr>
                <w:sz w:val="4"/>
                <w:szCs w:val="4"/>
              </w:rPr>
            </w:r>
          </w:p>
        </w:tc>
        <w:tc>
          <w:tcPr>
            <w:tcW w:w="728" w:type="dxa"/>
            <w:tcBorders>
              <w:top w:val="single" w:sz="4" w:space="0" w:color="5A5A5A"/>
              <w:bottom w:val="single" w:sz="8" w:space="0" w:color="5A5A5A"/>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(74)</w:t>
            </w:r>
          </w:p>
        </w:tc>
      </w:tr>
    </w:tbl>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 xml:space="preserve">The key elements impacting the effective tax rate </w:t>
      </w:r>
      <w:r>
        <w:rPr>
          <w:rFonts w:ascii="Arial;sans-serif" w:hAnsi="Arial;sans-serif"/>
          <w:b w:val="false"/>
          <w:i w:val="false"/>
          <w:caps w:val="false"/>
          <w:smallCaps w:val="false"/>
          <w:strike w:val="false"/>
          <w:dstrike w:val="false"/>
          <w:color w:val="5A5A5A"/>
          <w:sz w:val="18"/>
          <w:u w:val="none"/>
          <w:effect w:val="none"/>
          <w:shd w:fill="FFFFFF" w:val="clear"/>
        </w:rPr>
        <w:t xml:space="preserve">for the </w:t>
      </w:r>
      <w:r>
        <w:rPr>
          <w:rFonts w:ascii="Arial;sans-serif" w:hAnsi="Arial;sans-serif"/>
          <w:b w:val="false"/>
          <w:i w:val="false"/>
          <w:caps w:val="false"/>
          <w:smallCaps w:val="false"/>
          <w:strike w:val="false"/>
          <w:dstrike w:val="false"/>
          <w:color w:val="5A5A5A"/>
          <w:sz w:val="18"/>
          <w:u w:val="none"/>
          <w:effect w:val="none"/>
        </w:rPr>
        <w:t>six</w:t>
      </w:r>
      <w:r>
        <w:rPr>
          <w:caps w:val="false"/>
          <w:smallCaps w:val="false"/>
          <w:strike w:val="false"/>
          <w:dstrike w:val="false"/>
          <w:color w:val="5A5A5A"/>
          <w:sz w:val="24"/>
          <w:u w:val="none"/>
          <w:effect w:val="none"/>
          <w:shd w:fill="FFFFFF" w:val="clear"/>
        </w:rPr>
        <w:t xml:space="preserve"> </w:t>
      </w:r>
      <w:r>
        <w:rPr>
          <w:rFonts w:ascii="Arial;sans-serif" w:hAnsi="Arial;sans-serif"/>
          <w:b w:val="false"/>
          <w:i w:val="false"/>
          <w:caps w:val="false"/>
          <w:smallCaps w:val="false"/>
          <w:strike w:val="false"/>
          <w:dstrike w:val="false"/>
          <w:color w:val="5A5A5A"/>
          <w:sz w:val="18"/>
          <w:u w:val="none"/>
          <w:effect w:val="none"/>
          <w:shd w:fill="FFFFFF" w:val="clear"/>
        </w:rPr>
        <w:t xml:space="preserve">months ended </w:t>
      </w:r>
      <w:r>
        <w:rPr>
          <w:rFonts w:ascii="Arial;sans-serif" w:hAnsi="Arial;sans-serif"/>
          <w:b w:val="false"/>
          <w:i w:val="false"/>
          <w:caps w:val="false"/>
          <w:smallCaps w:val="false"/>
          <w:strike w:val="false"/>
          <w:dstrike w:val="false"/>
          <w:color w:val="5A5A5A"/>
          <w:sz w:val="18"/>
          <w:u w:val="none"/>
          <w:effect w:val="none"/>
        </w:rPr>
        <w:t>June 30, 2026</w:t>
      </w:r>
      <w:r>
        <w:rPr>
          <w:caps w:val="false"/>
          <w:smallCaps w:val="false"/>
          <w:strike w:val="false"/>
          <w:dstrike w:val="false"/>
          <w:color w:val="5A5A5A"/>
          <w:sz w:val="24"/>
          <w:u w:val="none"/>
          <w:effect w:val="none"/>
          <w:shd w:fill="FFFFFF" w:val="clear"/>
        </w:rPr>
        <w:t xml:space="preserve"> </w:t>
      </w:r>
      <w:r>
        <w:rPr>
          <w:rFonts w:ascii="Arial;sans-serif" w:hAnsi="Arial;sans-serif"/>
          <w:b w:val="false"/>
          <w:i w:val="false"/>
          <w:caps w:val="false"/>
          <w:smallCaps w:val="false"/>
          <w:strike w:val="false"/>
          <w:dstrike w:val="false"/>
          <w:color w:val="5A5A5A"/>
          <w:sz w:val="18"/>
          <w:u w:val="none"/>
          <w:effect w:val="none"/>
          <w:shd w:fill="FFFFFF" w:val="clear"/>
        </w:rPr>
        <w:t xml:space="preserve">were primarily the mix of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shd w:fill="FFFFFF" w:val="clear"/>
        </w:rPr>
      </w:pPr>
      <w:r>
        <w:rPr>
          <w:rFonts w:ascii="Arial;sans-serif" w:hAnsi="Arial;sans-serif"/>
          <w:b w:val="false"/>
          <w:i w:val="false"/>
          <w:caps w:val="false"/>
          <w:smallCaps w:val="false"/>
          <w:strike w:val="false"/>
          <w:dstrike w:val="false"/>
          <w:color w:val="5A5A5A"/>
          <w:sz w:val="18"/>
          <w:u w:val="none"/>
          <w:effect w:val="none"/>
          <w:shd w:fill="FFFFFF" w:val="clear"/>
        </w:rPr>
        <w:t xml:space="preserve">income generated among the jurisdictions in which the Company operates and various tax incentives in certain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shd w:fill="FFFFFF" w:val="clear"/>
        </w:rPr>
        <w:t>jurisdictions</w:t>
      </w:r>
      <w:r>
        <w:rPr>
          <w:rFonts w:ascii="Arial;sans-serif" w:hAnsi="Arial;sans-serif"/>
          <w:b w:val="false"/>
          <w:i w:val="false"/>
          <w:caps w:val="false"/>
          <w:smallCaps w:val="false"/>
          <w:strike w:val="false"/>
          <w:dstrike w:val="false"/>
          <w:color w:val="5A5A5A"/>
          <w:sz w:val="18"/>
          <w:u w:val="none"/>
          <w:effect w:val="none"/>
        </w:rPr>
        <w:t>.</w:t>
      </w:r>
    </w:p>
    <w:tbl>
      <w:tblPr>
        <w:tblW w:w="7698" w:type="dxa"/>
        <w:jc w:val="left"/>
        <w:tblInd w:w="0" w:type="dxa"/>
        <w:tblLayout w:type="fixed"/>
        <w:tblCellMar>
          <w:top w:w="28" w:type="dxa"/>
          <w:left w:w="28" w:type="dxa"/>
          <w:bottom w:w="28" w:type="dxa"/>
          <w:right w:w="28" w:type="dxa"/>
        </w:tblCellMar>
      </w:tblPr>
      <w:tblGrid>
        <w:gridCol w:w="2551"/>
        <w:gridCol w:w="4846"/>
        <w:gridCol w:w="301"/>
      </w:tblGrid>
      <w:tr>
        <w:trPr/>
        <w:tc>
          <w:tcPr>
            <w:tcW w:w="2551"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8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 xml:space="preserve">Notes to the unaudited condensed consolidated interim financial statements </w:t>
            </w:r>
          </w:p>
        </w:tc>
        <w:tc>
          <w:tcPr>
            <w:tcW w:w="3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19</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single"/>
                  <w:effect w:val="none"/>
                </w:rPr>
                <w:t>Financial Statements</w:t>
              </w:r>
            </w:hyperlink>
          </w:p>
        </w:tc>
        <w:tc>
          <w:tcPr>
            <w:tcW w:w="4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5A5A5A"/>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14</w:t>
      </w:r>
      <w:bookmarkStart w:id="45" w:name="i1c4c06573f05420fb09714b7da2d275d"/>
      <w:bookmarkEnd w:id="45"/>
      <w:r>
        <w:rPr>
          <w:rFonts w:ascii="Arial;sans-serif" w:hAnsi="Arial;sans-serif"/>
          <w:b w:val="false"/>
          <w:i w:val="false"/>
          <w:caps w:val="false"/>
          <w:smallCaps w:val="false"/>
          <w:strike w:val="false"/>
          <w:dstrike w:val="false"/>
          <w:color w:val="91C353"/>
          <w:sz w:val="40"/>
          <w:u w:val="none"/>
          <w:effect w:val="none"/>
        </w:rPr>
        <w:t>Earnings per share</w:t>
      </w:r>
    </w:p>
    <w:tbl>
      <w:tblPr>
        <w:tblW w:w="8486" w:type="dxa"/>
        <w:jc w:val="left"/>
        <w:tblInd w:w="0" w:type="dxa"/>
        <w:tblLayout w:type="fixed"/>
        <w:tblCellMar>
          <w:top w:w="28" w:type="dxa"/>
          <w:left w:w="28" w:type="dxa"/>
          <w:bottom w:w="28" w:type="dxa"/>
          <w:right w:w="28" w:type="dxa"/>
        </w:tblCellMar>
      </w:tblPr>
      <w:tblGrid>
        <w:gridCol w:w="6391"/>
        <w:gridCol w:w="109"/>
        <w:gridCol w:w="916"/>
        <w:gridCol w:w="109"/>
        <w:gridCol w:w="961"/>
      </w:tblGrid>
      <w:tr>
        <w:trPr/>
        <w:tc>
          <w:tcPr>
            <w:tcW w:w="6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6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Six Months Ended</w:t>
            </w:r>
          </w:p>
        </w:tc>
      </w:tr>
      <w:tr>
        <w:trPr/>
        <w:tc>
          <w:tcPr>
            <w:tcW w:w="63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86" w:type="dxa"/>
            <w:gridSpan w:val="3"/>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30 June,</w:t>
            </w:r>
          </w:p>
        </w:tc>
      </w:tr>
      <w:tr>
        <w:trPr/>
        <w:tc>
          <w:tcPr>
            <w:tcW w:w="6391" w:type="dxa"/>
            <w:tcBorders>
              <w:bottom w:val="single" w:sz="8" w:space="0" w:color="5A5A5A"/>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(in millions of $ except for shares and EPS)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2026</w:t>
            </w:r>
          </w:p>
        </w:tc>
        <w:tc>
          <w:tcPr>
            <w:tcW w:w="109" w:type="dxa"/>
            <w:tcBorders>
              <w:top w:val="single" w:sz="8" w:space="0" w:color="5A5A5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2025</w:t>
            </w:r>
          </w:p>
        </w:tc>
      </w:tr>
      <w:tr>
        <w:trPr/>
        <w:tc>
          <w:tcPr>
            <w:tcW w:w="639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Profit for the period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$838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$415</w:t>
            </w:r>
          </w:p>
        </w:tc>
      </w:tr>
      <w:tr>
        <w:trPr/>
        <w:tc>
          <w:tcPr>
            <w:tcW w:w="639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Weighted average number of shares outstanding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62,185,445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61,034,202</w:t>
            </w:r>
          </w:p>
        </w:tc>
      </w:tr>
      <w:tr>
        <w:trPr/>
        <w:tc>
          <w:tcPr>
            <w:tcW w:w="639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Basic profit per share (in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13.47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6.80</w:t>
            </w:r>
          </w:p>
        </w:tc>
      </w:tr>
      <w:tr>
        <w:trPr/>
        <w:tc>
          <w:tcPr>
            <w:tcW w:w="639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Weighted average number of shares outstanding for purpose of diluted profit per share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4" w:space="0" w:color="5A5A5A"/>
              <w:bottom w:val="single" w:sz="4"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64,409,488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4"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5A5A5A"/>
                <w:sz w:val="16"/>
                <w:u w:val="none"/>
                <w:effect w:val="none"/>
              </w:rPr>
            </w:pPr>
            <w:r>
              <w:rPr>
                <w:rFonts w:ascii="Arial;sans-serif" w:hAnsi="Arial;sans-serif"/>
                <w:b w:val="false"/>
                <w:i w:val="false"/>
                <w:caps w:val="false"/>
                <w:smallCaps w:val="false"/>
                <w:strike w:val="false"/>
                <w:dstrike w:val="false"/>
                <w:color w:val="5A5A5A"/>
                <w:sz w:val="16"/>
                <w:u w:val="none"/>
                <w:effect w:val="none"/>
              </w:rPr>
              <w:t>65,653,007</w:t>
            </w:r>
          </w:p>
        </w:tc>
      </w:tr>
      <w:tr>
        <w:trPr/>
        <w:tc>
          <w:tcPr>
            <w:tcW w:w="639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Diluted profit per share (in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4" w:space="0" w:color="5A5A5A"/>
              <w:bottom w:val="single" w:sz="8" w:space="0" w:color="5A5A5A"/>
            </w:tcBorders>
            <w:shd w:fill="F2F2F2"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13.00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4" w:space="0" w:color="5A5A5A"/>
              <w:bottom w:val="single" w:sz="8" w:space="0" w:color="5A5A5A"/>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5A5A5A"/>
                <w:sz w:val="16"/>
                <w:u w:val="none"/>
                <w:effect w:val="none"/>
              </w:rPr>
            </w:pPr>
            <w:r>
              <w:rPr>
                <w:rFonts w:ascii="Arial;sans-serif" w:hAnsi="Arial;sans-serif"/>
                <w:b/>
                <w:i w:val="false"/>
                <w:caps w:val="false"/>
                <w:smallCaps w:val="false"/>
                <w:strike w:val="false"/>
                <w:dstrike w:val="false"/>
                <w:color w:val="5A5A5A"/>
                <w:sz w:val="16"/>
                <w:u w:val="none"/>
                <w:effect w:val="none"/>
              </w:rPr>
              <w:t>6.32</w:t>
            </w:r>
          </w:p>
        </w:tc>
      </w:tr>
    </w:tbl>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Profit per ordinary share is calculated by dividing the profit for the period by the weighted average number of ordinary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shares during the period. Diluted profit per share is calculated by adjusting the weighted average number of shares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by in the money outstanding dilutive stock options, RSUs and PSUs.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15</w:t>
      </w:r>
      <w:bookmarkStart w:id="46" w:name="i5c87842bcf8a4638a4c8bacfeeb308ac"/>
      <w:bookmarkEnd w:id="46"/>
      <w:r>
        <w:rPr>
          <w:rFonts w:ascii="Arial;sans-serif" w:hAnsi="Arial;sans-serif"/>
          <w:b w:val="false"/>
          <w:i w:val="false"/>
          <w:caps w:val="false"/>
          <w:smallCaps w:val="false"/>
          <w:strike w:val="false"/>
          <w:dstrike w:val="false"/>
          <w:color w:val="91C353"/>
          <w:sz w:val="40"/>
          <w:u w:val="none"/>
          <w:effect w:val="none"/>
        </w:rPr>
        <w:t>Related party transactions</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On May 6, 2026, the Annual General Meeting of shareholders voted to appoint Karen Massey as executive director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and Tim Van Hauwermeiren as non-executive director to the Board of Directors. The Board of Directors also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appointed Mr. Van Hauwermeiren as Chairperson of the Board. Upon his resignation as Chief Executive Officer of the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Company, Mr. Van Hauwermeiren’s unvested stock options and RSUs vested on his final day of service as per the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2025 Remuneration Policy.</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The vested stock options retain their original 10-year</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exercise period. Mr. Van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Hauwermeiren’s PSUs will be pro-rated to his service period upon the conclusion of the 3-year</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performance period.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Mr. Van Hauwermeiren did not receive a grant for his services as CEO in 2026.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During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a total of 57,572</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stock options and 22,833</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PSUs</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were granted to senior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management members as a group. During the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months ended June 30, 2026</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a total of 3,325</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restricted stock units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were granted to non-executive board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16</w:t>
      </w:r>
      <w:bookmarkStart w:id="47" w:name="iebb9ad6d2d2c4e6e93bd8f82ae8a59ea"/>
      <w:bookmarkEnd w:id="47"/>
      <w:r>
        <w:rPr>
          <w:rFonts w:ascii="Arial;sans-serif" w:hAnsi="Arial;sans-serif"/>
          <w:b w:val="false"/>
          <w:i w:val="false"/>
          <w:caps w:val="false"/>
          <w:smallCaps w:val="false"/>
          <w:strike w:val="false"/>
          <w:dstrike w:val="false"/>
          <w:color w:val="91C353"/>
          <w:sz w:val="40"/>
          <w:u w:val="none"/>
          <w:effect w:val="none"/>
        </w:rPr>
        <w:t>Commitments</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As of the balance sheet date, there were</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no</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commitments signed for the acquisition of property, plant and equipment.</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In February 2019, the Company entered into a global collaboration and license agreement with Halozyme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Therapeutics, which was later amended in September 2020 and again in September 2024.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Under the terms of the agreement, the Company will pay up to $40 million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to achievement of specific regulatory and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sales-based milestones related specifically to its FcRn target. This amount represents the maximum amount that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would be paid if all milestones would be achieved but excludes variable royalty payments based on unit sales.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Further, the Company will pay up to $78 million</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per other non-FcRn target subject to achievement of specified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development, regulatory and sales-based milestones. This amount represents the maximum amount that would be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paid per target if all milestones would be achieved but excludes variable royalty payments based on unit sales. The </w:t>
      </w:r>
    </w:p>
    <w:p>
      <w:pPr>
        <w:pStyle w:val="TextBody"/>
        <w:bidi w:val="0"/>
        <w:spacing w:lineRule="atLeast" w:line="180" w:before="0" w:after="0"/>
        <w:jc w:val="left"/>
        <w:rPr>
          <w:sz w:val="24"/>
        </w:rPr>
      </w:pPr>
      <w:r>
        <w:rPr>
          <w:rFonts w:ascii="Arial;sans-serif" w:hAnsi="Arial;sans-serif"/>
          <w:b w:val="false"/>
          <w:i w:val="false"/>
          <w:caps w:val="false"/>
          <w:smallCaps w:val="false"/>
          <w:strike w:val="false"/>
          <w:dstrike w:val="false"/>
          <w:color w:val="5A5A5A"/>
          <w:sz w:val="18"/>
          <w:u w:val="none"/>
          <w:effect w:val="none"/>
        </w:rPr>
        <w:t>Company has a total of six</w:t>
      </w:r>
      <w:r>
        <w:rPr>
          <w:caps w:val="false"/>
          <w:smallCaps w:val="false"/>
          <w:strike w:val="false"/>
          <w:dstrike w:val="false"/>
          <w:color w:val="5A5A5A"/>
          <w:sz w:val="24"/>
          <w:u w:val="none"/>
          <w:effect w:val="none"/>
        </w:rPr>
        <w:t xml:space="preserve"> </w:t>
      </w:r>
      <w:r>
        <w:rPr>
          <w:rFonts w:ascii="Arial;sans-serif" w:hAnsi="Arial;sans-serif"/>
          <w:b w:val="false"/>
          <w:i w:val="false"/>
          <w:caps w:val="false"/>
          <w:smallCaps w:val="false"/>
          <w:strike w:val="false"/>
          <w:dstrike w:val="false"/>
          <w:color w:val="5A5A5A"/>
          <w:sz w:val="18"/>
          <w:u w:val="none"/>
          <w:effect w:val="none"/>
        </w:rPr>
        <w:t xml:space="preserve">nominated targets under this agreement including its FcRn target.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The Company’s commercial supply is manufactured in collaboration with Lonza and Fujifilm. In the aggregate, the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Company has outstanding commitments under these commercial supply agreements amounting to approximately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$1.2 billion. These agreements provide commercial supply of efgartigimod to the Company’s global commercial </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operations through facilities in the U.S., Europe and Asia.</w:t>
      </w:r>
    </w:p>
    <w:tbl>
      <w:tblPr>
        <w:tblW w:w="7698" w:type="dxa"/>
        <w:jc w:val="left"/>
        <w:tblInd w:w="0" w:type="dxa"/>
        <w:tblLayout w:type="fixed"/>
        <w:tblCellMar>
          <w:top w:w="28" w:type="dxa"/>
          <w:left w:w="28" w:type="dxa"/>
          <w:bottom w:w="28" w:type="dxa"/>
          <w:right w:w="28" w:type="dxa"/>
        </w:tblCellMar>
      </w:tblPr>
      <w:tblGrid>
        <w:gridCol w:w="2551"/>
        <w:gridCol w:w="4846"/>
        <w:gridCol w:w="301"/>
      </w:tblGrid>
      <w:tr>
        <w:trPr/>
        <w:tc>
          <w:tcPr>
            <w:tcW w:w="2551"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trike w:val="false"/>
                <w:dstrike w:val="false"/>
                <w:color w:val="0B436E"/>
                <w:sz w:val="14"/>
                <w:u w:val="none"/>
                <w:effect w:val="none"/>
              </w:rPr>
              <w:t>argenx Half-Year 2026</w:t>
            </w:r>
            <w:r>
              <w:rPr>
                <w:caps w:val="false"/>
                <w:smallCaps w:val="false"/>
                <w:strike w:val="false"/>
                <w:dstrike w:val="false"/>
                <w:color w:val="0B436E"/>
                <w:sz w:val="24"/>
                <w:u w:val="none"/>
                <w:effect w:val="none"/>
              </w:rPr>
              <w:t xml:space="preserve"> </w:t>
            </w:r>
            <w:r>
              <w:rPr>
                <w:rFonts w:ascii="Arial;sans-serif" w:hAnsi="Arial;sans-serif"/>
                <w:b w:val="false"/>
                <w:i w:val="false"/>
                <w:caps w:val="false"/>
                <w:smallCaps w:val="false"/>
                <w:strike w:val="false"/>
                <w:dstrike w:val="false"/>
                <w:color w:val="0B436E"/>
                <w:sz w:val="14"/>
                <w:u w:val="none"/>
                <w:effect w:val="none"/>
              </w:rPr>
              <w:t>Financial Report</w:t>
            </w:r>
          </w:p>
        </w:tc>
        <w:tc>
          <w:tcPr>
            <w:tcW w:w="48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 xml:space="preserve">Notes to the unaudited condensed consolidated interim financial statements </w:t>
            </w:r>
          </w:p>
        </w:tc>
        <w:tc>
          <w:tcPr>
            <w:tcW w:w="30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B436E"/>
                <w:sz w:val="14"/>
                <w:u w:val="none"/>
                <w:effect w:val="none"/>
              </w:rPr>
            </w:pPr>
            <w:r>
              <w:rPr>
                <w:rFonts w:ascii="Arial;sans-serif" w:hAnsi="Arial;sans-serif"/>
                <w:b w:val="false"/>
                <w:i w:val="false"/>
                <w:caps w:val="false"/>
                <w:smallCaps w:val="false"/>
                <w:strike w:val="false"/>
                <w:dstrike w:val="false"/>
                <w:color w:val="0B436E"/>
                <w:sz w:val="14"/>
                <w:u w:val="none"/>
                <w:effect w:val="none"/>
              </w:rPr>
              <w:t>20</w:t>
            </w:r>
          </w:p>
        </w:tc>
      </w:tr>
    </w:tbl>
    <w:tbl>
      <w:tblPr>
        <w:tblW w:w="4782" w:type="dxa"/>
        <w:jc w:val="left"/>
        <w:tblInd w:w="0" w:type="dxa"/>
        <w:tblLayout w:type="fixed"/>
        <w:tblCellMar>
          <w:top w:w="28" w:type="dxa"/>
          <w:left w:w="28" w:type="dxa"/>
          <w:bottom w:w="28" w:type="dxa"/>
          <w:right w:w="28" w:type="dxa"/>
        </w:tblCellMar>
      </w:tblPr>
      <w:tblGrid>
        <w:gridCol w:w="124"/>
        <w:gridCol w:w="1216"/>
        <w:gridCol w:w="1366"/>
        <w:gridCol w:w="1456"/>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142" w:before="0" w:after="0"/>
              <w:jc w:val="left"/>
              <w:rPr/>
            </w:pPr>
            <w:hyperlink w:anchor="ia166a794aaad4759b85b5729ce77d6a4_70">
              <w:r>
                <w:rPr>
                  <w:rStyle w:val="InternetLink"/>
                  <w:rFonts w:ascii="Arial;sans-serif" w:hAnsi="Arial;sans-serif"/>
                  <w:b/>
                  <w:i w:val="false"/>
                  <w:caps w:val="false"/>
                  <w:smallCaps w:val="false"/>
                  <w:strike w:val="false"/>
                  <w:dstrike w:val="false"/>
                  <w:color w:val="B6B6B6"/>
                  <w:sz w:val="14"/>
                  <w:u w:val="single"/>
                  <w:effect w:val="none"/>
                </w:rPr>
                <w:t>Table of Contents</w:t>
              </w:r>
            </w:hyperlink>
          </w:p>
        </w:tc>
        <w:tc>
          <w:tcPr>
            <w:tcW w:w="1366" w:type="dxa"/>
            <w:tcBorders/>
            <w:vAlign w:val="center"/>
          </w:tcPr>
          <w:p>
            <w:pPr>
              <w:pStyle w:val="TableContents"/>
              <w:bidi w:val="0"/>
              <w:spacing w:lineRule="atLeast" w:line="142" w:before="0" w:after="0"/>
              <w:jc w:val="left"/>
              <w:rPr/>
            </w:pPr>
            <w:hyperlink w:anchor="ia166a794aaad4759b85b5729ce77d6a4_73">
              <w:r>
                <w:rPr>
                  <w:rStyle w:val="InternetLink"/>
                  <w:rFonts w:ascii="Arial;sans-serif" w:hAnsi="Arial;sans-serif"/>
                  <w:b/>
                  <w:i w:val="false"/>
                  <w:caps w:val="false"/>
                  <w:smallCaps w:val="false"/>
                  <w:strike w:val="false"/>
                  <w:dstrike w:val="false"/>
                  <w:color w:val="B6B6B6"/>
                  <w:sz w:val="14"/>
                  <w:u w:val="single"/>
                  <w:effect w:val="none"/>
                </w:rPr>
                <w:t>Management Report</w:t>
              </w:r>
            </w:hyperlink>
          </w:p>
        </w:tc>
        <w:tc>
          <w:tcPr>
            <w:tcW w:w="1456" w:type="dxa"/>
            <w:tcBorders/>
            <w:vAlign w:val="center"/>
          </w:tcPr>
          <w:p>
            <w:pPr>
              <w:pStyle w:val="TableContents"/>
              <w:bidi w:val="0"/>
              <w:spacing w:lineRule="atLeast" w:line="142" w:before="0" w:after="0"/>
              <w:jc w:val="left"/>
              <w:rPr/>
            </w:pPr>
            <w:hyperlink w:anchor="ia166a794aaad4759b85b5729ce77d6a4_711">
              <w:r>
                <w:rPr>
                  <w:rStyle w:val="InternetLink"/>
                  <w:rFonts w:ascii="Arial;sans-serif" w:hAnsi="Arial;sans-serif"/>
                  <w:b/>
                  <w:i w:val="false"/>
                  <w:caps w:val="false"/>
                  <w:smallCaps w:val="false"/>
                  <w:strike w:val="false"/>
                  <w:dstrike w:val="false"/>
                  <w:color w:val="B6B6B6"/>
                  <w:sz w:val="14"/>
                  <w:u w:val="single"/>
                  <w:effect w:val="none"/>
                </w:rPr>
                <w:t>Financial Statements</w:t>
              </w:r>
            </w:hyperlink>
          </w:p>
        </w:tc>
        <w:tc>
          <w:tcPr>
            <w:tcW w:w="466" w:type="dxa"/>
            <w:tcBorders>
              <w:bottom w:val="single" w:sz="8" w:space="0" w:color="91C353"/>
            </w:tcBorders>
            <w:tcMar>
              <w:top w:w="0" w:type="dxa"/>
              <w:left w:w="0" w:type="dxa"/>
              <w:right w:w="0" w:type="dxa"/>
            </w:tcMar>
            <w:vAlign w:val="center"/>
          </w:tcPr>
          <w:p>
            <w:pPr>
              <w:pStyle w:val="TableContents"/>
              <w:bidi w:val="0"/>
              <w:spacing w:lineRule="atLeast" w:line="142" w:before="0" w:after="0"/>
              <w:jc w:val="left"/>
              <w:rPr/>
            </w:pPr>
            <w:hyperlink w:anchor="ia166a794aaad4759b85b5729ce77d6a4_103">
              <w:r>
                <w:rPr>
                  <w:rStyle w:val="InternetLink"/>
                  <w:rFonts w:ascii="Arial;sans-serif" w:hAnsi="Arial;sans-serif"/>
                  <w:b/>
                  <w:i w:val="false"/>
                  <w:caps w:val="false"/>
                  <w:smallCaps w:val="false"/>
                  <w:strike w:val="false"/>
                  <w:dstrike w:val="false"/>
                  <w:color w:val="5A5A5A"/>
                  <w:sz w:val="14"/>
                  <w:u w:val="single"/>
                  <w:effect w:val="none"/>
                </w:rPr>
                <w:t>Notes</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sz w:val="40"/>
        </w:rPr>
      </w:pPr>
      <w:r>
        <w:rPr>
          <w:rFonts w:ascii="Arial;sans-serif" w:hAnsi="Arial;sans-serif"/>
          <w:b w:val="false"/>
          <w:i w:val="false"/>
          <w:caps w:val="false"/>
          <w:smallCaps w:val="false"/>
          <w:strike w:val="false"/>
          <w:dstrike w:val="false"/>
          <w:color w:val="91C353"/>
          <w:sz w:val="40"/>
          <w:u w:val="none"/>
          <w:effect w:val="none"/>
        </w:rPr>
        <w:t>17</w:t>
      </w:r>
      <w:bookmarkStart w:id="48" w:name="i80dbaca9aefc4315bc3e1120d3de7369"/>
      <w:bookmarkEnd w:id="48"/>
      <w:r>
        <w:rPr>
          <w:rFonts w:ascii="Arial;sans-serif" w:hAnsi="Arial;sans-serif"/>
          <w:b w:val="false"/>
          <w:i w:val="false"/>
          <w:caps w:val="false"/>
          <w:smallCaps w:val="false"/>
          <w:strike w:val="false"/>
          <w:dstrike w:val="false"/>
          <w:color w:val="91C353"/>
          <w:sz w:val="40"/>
          <w:u w:val="none"/>
          <w:effect w:val="none"/>
        </w:rPr>
        <w:t>Events after the balance sheet date</w:t>
      </w:r>
    </w:p>
    <w:p>
      <w:pPr>
        <w:pStyle w:val="TextBody"/>
        <w:bidi w:val="0"/>
        <w:spacing w:lineRule="atLeast" w:line="180" w:before="0" w:after="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 xml:space="preserve">No events have occurred after the balance sheet date that could have a material impact on the unaudited condensed </w:t>
      </w:r>
    </w:p>
    <w:p>
      <w:pPr>
        <w:pStyle w:val="TextBody"/>
        <w:bidi w:val="0"/>
        <w:spacing w:lineRule="atLeast" w:line="180"/>
        <w:jc w:val="left"/>
        <w:rPr>
          <w:rFonts w:ascii="Arial;sans-serif" w:hAnsi="Arial;sans-serif"/>
          <w:b w:val="false"/>
          <w:i w:val="false"/>
          <w:caps w:val="false"/>
          <w:smallCaps w:val="false"/>
          <w:strike w:val="false"/>
          <w:dstrike w:val="false"/>
          <w:color w:val="5A5A5A"/>
          <w:sz w:val="18"/>
          <w:u w:val="none"/>
          <w:effect w:val="none"/>
        </w:rPr>
      </w:pPr>
      <w:r>
        <w:rPr>
          <w:rFonts w:ascii="Arial;sans-serif" w:hAnsi="Arial;sans-serif"/>
          <w:b w:val="false"/>
          <w:i w:val="false"/>
          <w:caps w:val="false"/>
          <w:smallCaps w:val="false"/>
          <w:strike w:val="false"/>
          <w:dstrike w:val="false"/>
          <w:color w:val="5A5A5A"/>
          <w:sz w:val="18"/>
          <w:u w:val="none"/>
          <w:effect w:val="none"/>
        </w:rPr>
        <w:t>consolidated financial statements.</w:t>
      </w:r>
    </w:p>
    <w:p>
      <w:pPr>
        <w:pStyle w:val="TextBody"/>
        <w:bidi w:val="0"/>
        <w:spacing w:before="0" w:after="0"/>
        <w:jc w:val="center"/>
        <w:rPr/>
      </w:pPr>
      <w:bookmarkStart w:id="49" w:name="argxq226slides.htm"/>
      <w:bookmarkStart w:id="50" w:name="ksargxq226slides"/>
      <w:bookmarkEnd w:id="49"/>
      <w:bookmarkEnd w:id="50"/>
      <w:r>
        <w:rPr/>
        <w:drawing>
          <wp:inline distT="0" distB="0" distL="0" distR="0">
            <wp:extent cx="7620000" cy="588645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Leading a new era of innovation in immunology 2 Q 2 0 2 6 F I N A N C I A L R E S U L T S C A L L J U L Y 2 3 , 2 0 2 6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This presentation has been prepared by argenx se (“argenx” or the “company”) for informational purposes only and not for any other purpose. Nothing contained in this presentation is, or should be construed as, a recommendation, promise or representation by the presenter or the company or any director, employee, agent, or adviser of the company. This presentation does not purport to be all-inclusive or to contain all of the information you may desire. Certain information contained in this presentation relates to or is based on studies, publications, surveys and other data obtained from third-party sources and the company’s own internal estimates and research. While argenx believes these third-party studies, publications, surveys and other data to be reliable as of the date of this presentation, it has not independently verified, and makes no representation as to the adequacy, fairness, accuracy or completeness of, any information obtained from third-party sources. In addition, no independent source has evaluated the reasonableness or accuracy of argenx’s internal estimates or research, and no reliance should be made on any information or statements made in this presentation relating to or based on such internal estimates and research. The contents of this presentation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initiation, timing, progress, development and results of preclinical and clinical trials of argenx’s product candidates, including new indications, alternative dosing regimens, treatment modalities, and methods of administration, including statements regarding when results or interim analysis of the clinical trials will be available or made public; the expansion of argenx’s business, including the further development of argenx’s sales and marketing abilities and its Immunology Innovation Program, and the value of its pipeline; the potential attributes, benefits, and side effects of argenx’s products and product candidates, including new indications, alternative dosing regimens and treatment modalities, and their competitive position with respect to other alternative treatments; argenx’s ability to advance product candidates into, and successfully complete, clinical trials; argenx’s estimates of the number of patients who suffer from the diseases it is targeting and the number of patients that will enroll in its clinical trials; the demand and commercialization of argenx’s products and product candidates, including new indications, alternative dosing regimens, treatment modalities, and methods of administration, if approved; the anticipated timing or likelihood of market or regulatory decisions relating to or of argenx’s products, including new indications, alternative dosing regimens, treatment modalities, and methods of administration; the anticipated pricing and reimbursement of argenx’s products and product candidates, if approved; argenx’s plans to have various programs to help patients afford its products, including patient assistance and co-pay coupon programs for eligible patients; argenx’s ability to establish sales, marketing and distribution capabilities for any of its products and product candidates that achieve regulatory approval; argenx’s regulatory strategy and its ability to establish and maintain manufacturing arrangements for its products and product candidates; the scope and duration of protection, including any exclusivity period, argenx is able to establish and maintain for intellectual property rights covering its products and product candidates, platform and technology, including its intention to seek patent term extensions where available; argenx’s estimates regarding expenses, future revenues, cash flow, capital requirements and its needs for additional financing; argenx’s expectation that it will benefit from the Belgian innovation income deduction; argenx’s financial performance, including potential volatility in the price of its ordinary shares and American Depositary Shares; the competition argenx faces in its drug discovery, development, and commercialization efforts; the rate and degree of market acceptance of argenx’s products and product candidates, if approved, by its patients as safe, effective and cost-effective; the potential benefits of argenx’s current collaborations, including the possibility to access partner technology platforms or capabilities; argenx’s plans and ability to enter into or maintain current collaborations for additional programs or product candidates; argenx’s plans and ability to enter into or maintain current new distribution partnerships; argenx’s long-term growth strategy to develop and market additional products and product candidates, including efgartigimod for new indications, empasiprubart and adimanebart; the impact of government laws and regulations, including tariffs, export controls, sanctions and other regulations on argenx’s business; argenx’s expectations with respect to the timing and amount of any dividends (if any); argenx’s plans regarding its supply chain, including its reliance on third parties, service providers and manufacturers; inflation and deflation and the corresponding fluctuations in interest rates; regional instability and conflicts; and argenx’s business strategies, including Vision 2030, plans, projects, goals and targets and the timing, outcomes and benefits thereof. A further list and description of these and other risks, uncertainties, and factors that could cause actual results to differ materially from those referred to in the forward-looking statements can be found in argenx’s U.S. Securities and Exchange Commission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presentation. argenx undertakes no obligation to publicly update or revise the information in this presentation, including any forward-looking statements, except as may be required by law. This presentation contains trademarks, trade names and service marks of other companies, which are the property of their respective owners.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VISION 2030 is our Engine for Long-term Growth 50k 10 5 patients on treatment labeled indications late-stage molecules Scale VYVGART in MG and CIDP Expand across indications and assets Build diversified immunology portfolio in FcRn and beyond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VYVGART Has the Broadest Label Across all gMG Mary Beth, MG Patient Now Approved VYVGART is the First and Only Targeted Treatment Approved for Adults with gMG across all Serotypes Anti-AChR antibody positive Anti-MuSK antibody positive Anti-LRP4 antibody positive Triple seronegative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Autoimmune Myositis is a Quintessential argenx Opportunity U.S. Prevalence A Multi-blockbuster Opportunity Clear Biology High Unmet Need Zero approved or late-development therapies Heterogeneous disease; Limited treatments Breakthrough Therapy Designation for IMNM DM IMNM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Pivotal Year for Empasiprubart 12k patients across key markets 1. PPTA, Takeda, CSL, argenx analysis argenx market research MMN G ri p s tr en g th c h an g e f ro m b as e lin e ( kP A ) 60% Progression despite treatment 40% Initially misdiagnosed Targeted treatments 0 UNMET NEED Progressive and often misdiagnosed as ALS Severe disability in 20% of patients DISEASE BURDEN ARDA+ Open LabelARDA Phase 2 6 Sustained Grip Strength Improvement in Phase 2 ARDA 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Innovation Model Generating World-Class Pipeline ApprovedRegistrationalPoCPhase 1IIP/Preclinical Ocular MG ITP Graves’ Disease Sjogren’s Disease Myositis MMN CIDP CMS ARGX-213 25 Active IIP programs Spanning neurology, rheumatology, renal and skin targets ARGX-118 (Galectin) ARGX-124 (FcRn) ARGX-125 TSP-101 (Fn14) AMR Scleroderma AIE DGF* SMA ARGX-121 (IgAN) ARGX-109 (IL6) Efgartigimod Empasiprubart Adimanebart Other PROGRAMS ARGX-213 ARGX-121 ARGX-109 Target of 1 IND per year gMG1 – CIDP – ITP (Japan) 1. VYVGART and VYVGART Hytrulo are the first and only approved treatments for all serotypes of adult patients living with gMG – anti -AChR-Ab positive, anti-MuSK-Ab positive, anti-LRP4-Ab positive, and triple seronegative * Evaluating potential path forward in transplant setting, not DGF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Product Net Sales of $1.5 Billion in Q2 $’m Year over Year (YoY) growth: 2Q26 vs 2Q25 *All growth is operational and excludes the impact of FX QoQ % Growth * GrowthQ2 2025Q2 2026(in millions of $) 59%4728021,273US 117%5052102Japan 1) 59%5383136Rest of the World (62%)(8)125China supply 60%5679491,516Total 62%5759361,511Total ex-China Growth % *GrowthQ1 2026Q2 2026(in millions of $) 15%1661,1071,273US 55%3567102Japan 1) 22%24112136Rest of the World (61%)(7)125China supply 17%2181,2981,516Total Quarter over Quarter (QoQ) growth: 2Q26 vs 1Q26Product Net Sales by Quarter *Product Net sales growth % excludes the impact of FX 1) Japan revenues include approximately $25M for a one-time benefit related to the change in the wholesaler distributor model. Year-over-Year Growth of 60%* Q2 22 Q3 22 Q4 22 Q1 23 Q2 23 Q3 23 Q4 23 Q1 24 Q2 24 Q3 24 Q4 24 Q1 25 Q2 25 Q3 25 Q4 25 Q1 26 Q2 26Q1 22 75 131 173 218 269 329 374 398 478 573 737 790 949 1.127 1.286 1.298 1.516 21 China RoW Japan US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2026 Financial Summary Operating profit of $0.5B +146% YoY *Comparative figures have been aligned with the presentation adopted in the current period, reflecting the combination of research and development expenses and loss from investment in a joint venture. $3.6 billion in cash and cash equivalents and $1.6 billion in current financial assets Ended Q2 with cash† of $5.2B † Alternative Performance Measure (APM). Refer to the APM Statement. (in million of $) 2026 2025 2026 2025 Product net sales $ 1,516 949 2,813 1,739 Other operating income 26 19 41 36 Total operating income $ 1,542 967 2,854 1,775 Cost of sales $ (145) (111) (266) (192) Research and development expenses* (486) (330) (929) (642) Selling, general and administrative expenses (417) (325) (772) (601) Total operating expenses $ (1,048) (766) (1,967) (1,435) Operating profit $ 494 201 887 340 Financial income $ 48 38 92 76 Financial expense (1) (1) (2) (2) Exchange (losses)/gains (8) 49 (19) 76 Profit for the period before taxes $ 532 287 958 489 Income tax expense $ (59) (42) (119) (74) Profit for the period $ 472 245 838 415 Three months ended Six months ended June 30 June 30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Patient-first Commercial Execution Jai, VYVGART Patient More HCPs choosing VYVGART as #1 biologic in MG &amp; CIDP More patients requesting VYVGART Patients staying on VYVGART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PFS Driving Demand VYVGART Growth Momentum Continues Across MG and CIDP ~80% of PFS patients new to VYVGART in 2Q/26 Increasing Breadth &amp; Depth of Prescription Seronegative gMG Label Expansion &gt;5,000 neurologists Earlier-line use First and only biologic approved across all gMG serotypes 11 Internal argenx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+11k Patients now eligible in U.S. Significant unmet need &gt;80% Of seronegative MG treaters covered ~55% U.S. commercial lives covered Most plans remove serology testing requirement Halo effect on gMG patients PATIENTS PHYSICIANS PAYERS Strong Early Momentum Following gMG Label Expansion 12 “I honestly sat at my computer and cried. Hope. This is finally real hope for the seronegative community.” Zach, seronegative MG patient Internal argenx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up to 96 weeks Evidence Generation Supports CIDP Market Expansion 42K 12K +12K Diagnosed, ‘Well-Managed’ on Treatment Addressable Market at Launch Total Diagnosed Patients 13 CIDP Market Expansion Opportunity +18K Diagnosed, Not Treated Improved grip strength1 Successful IVIG switch study2 87.5% response in treatment-naïve patients3 1. MDA 2026: ADHERE/ADHERE+ post-hoc analyses; 2. PNS 2026: IVIg to SC Efgartigimod PH20 Transition in CIDP; 3. AAN 2026: Efgartigimod on Treatment-Naïve Participants with CIDP Post-Hoc Analysis CIDP Evidence Generation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Augmenting our Commercialization Engine to Prepare for Successful Entry into Rheumatology HCPs Payors Patients Proactive Payor Engagements Best-in-Class Patient Engagement Program Strong Market Access Capabilities Partnerships with AIM Patient Advocacy Groups Expanded MSL Team Engaging with 650 AIM KOLs Sales Field Expansion Planned (rheumatology) Disease State Education Campaign Medical Education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Innovation Has No Value Unless it Provides Meaningful Benefit to Patients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Alternative Performance Measure Statement In this document, argenx's financial results are provided in accordance with IFRS® Accounting Standards (IFRS) and using a non-IFRS financial measure, cash, cash equivalents and current financial assets. This value should not be viewed as a substitute for the company’s IFRS financial information and is provided as a complement to financial information provided in accordance with IFRS and should be read in conjunction with the most directly comparable IFRS financial information as set out below. Management believes this non-IFRS financial measure is useful for securities analysts, investors and other interested parties to gain a more complete understanding of the company's available financial liquidities given that the company’s current financial assets are held in term accounts with an initial maturity of more than three months but less than twelve that may be used to meet its financial obligations. Such non-IFRS financial information, as calculated herein, may not be comparable to similarly named measures used by other companies and should not be considered comparable to IFRS financial measures. Non-IFRS financial measures have limitations as an analytical tool and should not be considered in isolation from, or as a substitute for, an analysis of the company's financial results as reported under IFRS. A reconciliation of the IFRS financial information to non-IFRS financial information is included below: Cash, cash equivalents and current financial assets totaled $5.2 billion as of June 30, 2026, compared to $4.4 billion as of December 31, 2025. The balance as of the period ended June 30, 2026 consisted of $3.6 billion in cash, cash equivalents and $1.6 billion in current financial assets and the balance as of the period ended December 31, 2025 consisted of $3.5 billion in cash and cash equivalents and $0.9 billion in current financial assets. 16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7862/000110465918037616/a18-14643_3s8.htm" TargetMode="External"/><Relationship Id="rId3" Type="http://schemas.openxmlformats.org/officeDocument/2006/relationships/hyperlink" Target="https://www.sec.gov/Archives/edgar/data/1697862/000110465921097298/tm2123453d1_s8.htm" TargetMode="External"/><Relationship Id="rId4" Type="http://schemas.openxmlformats.org/officeDocument/2006/relationships/hyperlink" Target="https://www.sec.gov/Archives/edgar/data/1697862/000110465923104307/tm2326371d1_s8.htm" TargetMode="External"/><Relationship Id="rId5" Type="http://schemas.openxmlformats.org/officeDocument/2006/relationships/hyperlink" Target="https://www.sec.gov/Archives/edgar/data/1697862/000110465925122044/tm2533221d1_s8.htm" TargetMode="External"/><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12915</Words>
  <Characters>73148</Characters>
  <CharactersWithSpaces>85195</CharactersWithSpaces>
  <Paragraphs>2002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argxq226slides</dc:title>
</cp:coreProperties>
</file>