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001-38097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ARGENX SE</w:t>
      </w:r>
    </w:p>
    <w:p>
      <w:pPr>
        <w:spacing w:after="0" w:line="45"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Laarderhoogtweg 25</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1101 EB Amsterdam, the Netherlands</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8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0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EXPLANATORY NOTE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23, 2026, argenx SE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issued a press release, a copy of which is attached hereto as Exhibit 99.1 and is incorporated by reference herein.</w:t>
      </w:r>
    </w:p>
    <w:p>
      <w:pPr>
        <w:spacing w:after="0" w:line="160" w:lineRule="exact"/>
        <w:rPr>
          <w:sz w:val="20"/>
          <w:szCs w:val="20"/>
          <w:color w:val="auto"/>
        </w:rPr>
      </w:pPr>
    </w:p>
    <w:p>
      <w:pPr>
        <w:jc w:val="both"/>
        <w:spacing w:after="0" w:line="267"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The information contained in this Current Report on Form 6-K, including Exhibit 99.1, shall be deemed to be incorporated by reference into the Company’s Registration Statements on Forms S-8 (File Nos. </w:t>
      </w:r>
      <w:hyperlink r:id="rId18">
        <w:r>
          <w:rPr>
            <w:rFonts w:ascii="Times New Roman" w:cs="Times New Roman" w:eastAsia="Times New Roman" w:hAnsi="Times New Roman"/>
            <w:sz w:val="18"/>
            <w:szCs w:val="18"/>
            <w:i w:val="1"/>
            <w:iCs w:val="1"/>
            <w:u w:val="single" w:color="auto"/>
            <w:color w:val="0000EE"/>
          </w:rPr>
          <w:t>333-225375</w:t>
        </w:r>
      </w:hyperlink>
      <w:r>
        <w:rPr>
          <w:rFonts w:ascii="Times New Roman" w:cs="Times New Roman" w:eastAsia="Times New Roman" w:hAnsi="Times New Roman"/>
          <w:sz w:val="18"/>
          <w:szCs w:val="18"/>
          <w:i w:val="1"/>
          <w:iCs w:val="1"/>
          <w:color w:val="auto"/>
        </w:rPr>
        <w:t xml:space="preserve">, </w:t>
      </w:r>
      <w:hyperlink r:id="rId19">
        <w:r>
          <w:rPr>
            <w:rFonts w:ascii="Times New Roman" w:cs="Times New Roman" w:eastAsia="Times New Roman" w:hAnsi="Times New Roman"/>
            <w:sz w:val="18"/>
            <w:szCs w:val="18"/>
            <w:i w:val="1"/>
            <w:iCs w:val="1"/>
            <w:u w:val="single" w:color="auto"/>
            <w:color w:val="0000EE"/>
          </w:rPr>
          <w:t>333-258253</w:t>
        </w:r>
      </w:hyperlink>
      <w:r>
        <w:rPr>
          <w:rFonts w:ascii="Times New Roman" w:cs="Times New Roman" w:eastAsia="Times New Roman" w:hAnsi="Times New Roman"/>
          <w:sz w:val="18"/>
          <w:szCs w:val="18"/>
          <w:i w:val="1"/>
          <w:iCs w:val="1"/>
          <w:color w:val="auto"/>
        </w:rPr>
        <w:t xml:space="preserve">, </w:t>
      </w:r>
      <w:hyperlink r:id="rId20">
        <w:r>
          <w:rPr>
            <w:rFonts w:ascii="Times New Roman" w:cs="Times New Roman" w:eastAsia="Times New Roman" w:hAnsi="Times New Roman"/>
            <w:sz w:val="18"/>
            <w:szCs w:val="18"/>
            <w:i w:val="1"/>
            <w:iCs w:val="1"/>
            <w:u w:val="single" w:color="auto"/>
            <w:color w:val="0000EE"/>
          </w:rPr>
          <w:t>333-274721</w:t>
        </w:r>
      </w:hyperlink>
      <w:r>
        <w:rPr>
          <w:rFonts w:ascii="Times New Roman" w:cs="Times New Roman" w:eastAsia="Times New Roman" w:hAnsi="Times New Roman"/>
          <w:sz w:val="18"/>
          <w:szCs w:val="18"/>
          <w:i w:val="1"/>
          <w:iCs w:val="1"/>
          <w:color w:val="auto"/>
        </w:rPr>
        <w:t xml:space="preserve">, and </w:t>
      </w:r>
      <w:hyperlink r:id="rId21">
        <w:r>
          <w:rPr>
            <w:rFonts w:ascii="Times New Roman" w:cs="Times New Roman" w:eastAsia="Times New Roman" w:hAnsi="Times New Roman"/>
            <w:sz w:val="18"/>
            <w:szCs w:val="18"/>
            <w:i w:val="1"/>
            <w:iCs w:val="1"/>
            <w:u w:val="single" w:color="auto"/>
            <w:color w:val="0000EE"/>
          </w:rPr>
          <w:t>333-292200</w:t>
        </w:r>
      </w:hyperlink>
      <w:r>
        <w:rPr>
          <w:rFonts w:ascii="Times New Roman" w:cs="Times New Roman" w:eastAsia="Times New Roman" w:hAnsi="Times New Roman"/>
          <w:sz w:val="18"/>
          <w:szCs w:val="18"/>
          <w:i w:val="1"/>
          <w:iCs w:val="1"/>
          <w:color w:val="auto"/>
        </w:rPr>
        <w:t>), and to be part thereof from the date on which this Current Report on Form 6-K is filed, to the extent not superseded by documents or reports subsequently filed or furnished.</w:t>
      </w:r>
    </w:p>
    <w:p>
      <w:pPr>
        <w:spacing w:after="0" w:line="171" w:lineRule="exact"/>
        <w:rPr>
          <w:rFonts w:ascii="Times New Roman" w:cs="Times New Roman" w:eastAsia="Times New Roman" w:hAnsi="Times New Roman"/>
          <w:sz w:val="18"/>
          <w:szCs w:val="18"/>
          <w:i w:val="1"/>
          <w:iCs w:val="1"/>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8180" w:type="dxa"/>
            <w:vAlign w:val="bottom"/>
            <w:tcBorders>
              <w:bottom w:val="single" w:sz="8" w:color="auto"/>
            </w:tcBorders>
          </w:tcPr>
          <w:p>
            <w:pPr>
              <w:ind w:left="26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3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0000EE"/>
              </w:rPr>
              <w:t>Press Release June 23, 2026</w:t>
            </w:r>
          </w:p>
        </w:tc>
      </w:tr>
      <w:tr>
        <w:trPr>
          <w:trHeight w:val="695"/>
        </w:trPr>
        <w:tc>
          <w:tcPr>
            <w:tcW w:w="320" w:type="dxa"/>
            <w:vAlign w:val="bottom"/>
            <w:tcBorders>
              <w:top w:val="single" w:sz="8" w:color="0000EE"/>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40" w:type="dxa"/>
            <w:vAlign w:val="bottom"/>
            <w:tcBorders>
              <w:top w:val="single" w:sz="8" w:color="0000EE"/>
              <w:bottom w:val="single" w:sz="8" w:color="auto"/>
            </w:tcBorders>
          </w:tcPr>
          <w:p>
            <w:pPr>
              <w:spacing w:after="0"/>
              <w:rPr>
                <w:sz w:val="24"/>
                <w:szCs w:val="24"/>
                <w:color w:val="auto"/>
              </w:rPr>
            </w:pPr>
          </w:p>
        </w:tc>
        <w:tc>
          <w:tcPr>
            <w:tcW w:w="8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ARGENX SE</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23,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Hemamalini (Malini) Moorthy</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Hemamalini (Malini) Moorthy</w:t>
            </w:r>
          </w:p>
        </w:tc>
      </w:tr>
      <w:tr>
        <w:trPr>
          <w:trHeight w:val="234"/>
        </w:trPr>
        <w:tc>
          <w:tcPr>
            <w:tcW w:w="3540" w:type="dxa"/>
            <w:vAlign w:val="bottom"/>
          </w:tcPr>
          <w:p>
            <w:pPr>
              <w:spacing w:after="0"/>
              <w:rPr>
                <w:sz w:val="20"/>
                <w:szCs w:val="20"/>
                <w:color w:val="auto"/>
              </w:rPr>
            </w:pPr>
          </w:p>
        </w:tc>
        <w:tc>
          <w:tcPr>
            <w:tcW w:w="770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Title: General Counsel</w:t>
            </w:r>
          </w:p>
        </w:tc>
      </w:tr>
      <w:tr>
        <w:trPr>
          <w:trHeight w:val="675"/>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868805" cy="6343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86880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argenx to Host Autoimmune Myositis R&amp;D Webinar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23, 2026, 7:00 AM CET</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Amsterdam, the Netherlands </w:t>
      </w:r>
      <w:r>
        <w:rPr>
          <w:rFonts w:ascii="Times New Roman" w:cs="Times New Roman" w:eastAsia="Times New Roman" w:hAnsi="Times New Roman"/>
          <w:sz w:val="18"/>
          <w:szCs w:val="18"/>
          <w:color w:val="auto"/>
        </w:rPr>
        <w:t>– argenx (Euronext &amp; Nasdaq: ARGX), a global immunology company committed to improving the lives of people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suffering from severe autoimmune diseases, will host a webinar titled “R&amp;D Spotlight: Advancing FcRn Leadership into Autoimmune Myositis” today, June 23, 2026, at 2:00pm 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argenx management and scientific leadership will be joined by external key opinion leaders:</w:t>
      </w:r>
    </w:p>
    <w:p>
      <w:pPr>
        <w:spacing w:after="0" w:line="221" w:lineRule="exact"/>
        <w:rPr>
          <w:sz w:val="20"/>
          <w:szCs w:val="20"/>
          <w:color w:val="auto"/>
        </w:rPr>
      </w:pPr>
    </w:p>
    <w:p>
      <w:pPr>
        <w:ind w:left="660" w:hanging="328"/>
        <w:spacing w:after="0" w:line="285"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Avery LaChance, MD, MPH, FAAD</w:t>
      </w:r>
      <w:r>
        <w:rPr>
          <w:rFonts w:ascii="Times New Roman" w:cs="Times New Roman" w:eastAsia="Times New Roman" w:hAnsi="Times New Roman"/>
          <w:sz w:val="18"/>
          <w:szCs w:val="18"/>
          <w:color w:val="auto"/>
        </w:rPr>
        <w:t>, Associate Professor of Dermatology, Harvard Medical School; Director of Connective Tissue Disease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Clinic</w:t>
      </w:r>
    </w:p>
    <w:p>
      <w:pPr>
        <w:spacing w:after="0" w:line="155"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Arjun Seth, MD</w:t>
      </w:r>
      <w:r>
        <w:rPr>
          <w:rFonts w:ascii="Times New Roman" w:cs="Times New Roman" w:eastAsia="Times New Roman" w:hAnsi="Times New Roman"/>
          <w:sz w:val="18"/>
          <w:szCs w:val="18"/>
          <w:color w:val="auto"/>
        </w:rPr>
        <w:t>, Assistant Professor, Neurology (Neuromuscular Disease), Northwestern University Feinberg School of Medicine</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Rohit Aggarwal, MD, MS</w:t>
      </w:r>
      <w:r>
        <w:rPr>
          <w:rFonts w:ascii="Times New Roman" w:cs="Times New Roman" w:eastAsia="Times New Roman" w:hAnsi="Times New Roman"/>
          <w:sz w:val="18"/>
          <w:szCs w:val="18"/>
          <w:color w:val="auto"/>
        </w:rPr>
        <w:t>, Professor of Medicine, University of Pittsburgh, and Co-Director of UPMC Myositis Center</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Webcast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live webcast of the event can be accessed on the Investors section of the argenx website at argenx.com/investors. A replay of the webcast will be available on the argenx website for approximately one year following the presentation.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Additional materials, including supporting presentation slides, will be available on argenx’s </w:t>
      </w:r>
      <w:r>
        <w:rPr>
          <w:rFonts w:ascii="Times New Roman" w:cs="Times New Roman" w:eastAsia="Times New Roman" w:hAnsi="Times New Roman"/>
          <w:sz w:val="18"/>
          <w:szCs w:val="18"/>
          <w:u w:val="single" w:color="auto"/>
          <w:color w:val="auto"/>
        </w:rPr>
        <w:t>Events &amp; Presentations</w:t>
      </w:r>
      <w:r>
        <w:rPr>
          <w:rFonts w:ascii="Times New Roman" w:cs="Times New Roman" w:eastAsia="Times New Roman" w:hAnsi="Times New Roman"/>
          <w:sz w:val="18"/>
          <w:szCs w:val="18"/>
          <w:color w:val="auto"/>
        </w:rPr>
        <w:t xml:space="preserve"> website today at 2:00pm ET.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argenx</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argenx is a global immunology company committed to improving the lives of people suffering from severe autoimmune diseases. Partnering with leading academic researchers through its Immunology Innovation Program (IIP), argenx aims to translate immunology breakthroughs into a world-class portfolio of novel antibody-based medicines. argenx developed and is commercializing the first approved neonatal Fc receptor (FcRn) blocker and is evaluating its broad potential in multiple serious autoimmune diseases while advancing several earlier stage experimental medicines within its therapeutic franchises. For more information, visit </w:t>
      </w:r>
      <w:r>
        <w:rPr>
          <w:rFonts w:ascii="Times New Roman" w:cs="Times New Roman" w:eastAsia="Times New Roman" w:hAnsi="Times New Roman"/>
          <w:sz w:val="18"/>
          <w:szCs w:val="18"/>
          <w:u w:val="single" w:color="auto"/>
          <w:color w:val="auto"/>
        </w:rPr>
        <w:t>www.argenx.com</w:t>
      </w:r>
      <w:r>
        <w:rPr>
          <w:rFonts w:ascii="Times New Roman" w:cs="Times New Roman" w:eastAsia="Times New Roman" w:hAnsi="Times New Roman"/>
          <w:sz w:val="18"/>
          <w:szCs w:val="18"/>
          <w:color w:val="auto"/>
        </w:rPr>
        <w:t xml:space="preserve"> and follow us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Instagram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Facebook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YouTube</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Colin McBean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cmcbean@argenx.com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Alexandra Roy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aroy@argenx.com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2" Type="http://schemas.openxmlformats.org/officeDocument/2006/relationships/image" Target="media/image11.jpeg"/><Relationship Id="rId23" Type="http://schemas.openxmlformats.org/officeDocument/2006/relationships/image" Target="media/image12.png"/><Relationship Id="rId18" Type="http://schemas.openxmlformats.org/officeDocument/2006/relationships/hyperlink" Target="https://www.sec.gov/Archives/edgar/data/1697862/000110465918037616/a18-14643_3s8.htm" TargetMode="External"/><Relationship Id="rId19" Type="http://schemas.openxmlformats.org/officeDocument/2006/relationships/hyperlink" Target="https://www.sec.gov/Archives/edgar/data/1697862/000110465921097298/tm2123453d1_s8.htm" TargetMode="External"/><Relationship Id="rId20" Type="http://schemas.openxmlformats.org/officeDocument/2006/relationships/hyperlink" Target="https://www.sec.gov/Archives/edgar/data/1697862/000110465923104307/tm2326371d1_s8.htm" TargetMode="External"/><Relationship Id="rId21" Type="http://schemas.openxmlformats.org/officeDocument/2006/relationships/hyperlink" Target="https://www.sec.gov/Archives/edgar/data/1697862/000110465925122044/tm2533221d1_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2026-06-23T05:26:30Z</dcterms:created>
  <dcterms:modified xsi:type="dcterms:W3CDTF">2026-06-23T05:26:30Z</dcterms:modified>
</cp:coreProperties>
</file>