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2026,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8">
        <w:r>
          <w:rPr>
            <w:rFonts w:ascii="Times New Roman" w:cs="Times New Roman" w:eastAsia="Times New Roman" w:hAnsi="Times New Roman"/>
            <w:sz w:val="18"/>
            <w:szCs w:val="18"/>
            <w:i w:val="1"/>
            <w:iCs w:val="1"/>
            <w:u w:val="single" w:color="auto"/>
            <w:color w:val="0000EE"/>
          </w:rPr>
          <w:t>333-292200</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20">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and </w:t>
      </w:r>
      <w:hyperlink r:id="rId21">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rFonts w:ascii="Times New Roman" w:cs="Times New Roman" w:eastAsia="Times New Roman" w:hAnsi="Times New Roman"/>
          <w:sz w:val="18"/>
          <w:szCs w:val="18"/>
          <w:i w:val="1"/>
          <w:iCs w:val="1"/>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January 13, 2026</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13, 2026</w:t>
            </w:r>
          </w:p>
        </w:tc>
        <w:tc>
          <w:tcPr>
            <w:tcW w:w="7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675"/>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9987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4998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340" w:right="480"/>
        <w:spacing w:after="0" w:line="286" w:lineRule="auto"/>
        <w:rPr>
          <w:sz w:val="20"/>
          <w:szCs w:val="20"/>
          <w:color w:val="auto"/>
        </w:rPr>
      </w:pPr>
      <w:r>
        <w:rPr>
          <w:rFonts w:ascii="Times New Roman" w:cs="Times New Roman" w:eastAsia="Times New Roman" w:hAnsi="Times New Roman"/>
          <w:sz w:val="18"/>
          <w:szCs w:val="18"/>
          <w:b w:val="1"/>
          <w:bCs w:val="1"/>
          <w:color w:val="auto"/>
        </w:rPr>
        <w:t>argenx Announces FDA Acceptance of Supplemental Biologics License Application with Priority Review for VYVGART in AChR-Ab Seronegative gMG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13, 2026, 7:00 AM CET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Amsterdam, the Netherlands </w:t>
      </w:r>
      <w:r>
        <w:rPr>
          <w:rFonts w:ascii="Times New Roman" w:cs="Times New Roman" w:eastAsia="Times New Roman" w:hAnsi="Times New Roman"/>
          <w:sz w:val="18"/>
          <w:szCs w:val="18"/>
          <w:color w:val="auto"/>
        </w:rPr>
        <w:t>– argenx SE (Euronext &amp; Nasdaq: ARGX), a global immunology company committed to improving the lives of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suffering from severe autoimmune diseases, today announced that the U.S. Food and Drug Administration (FDA) has accepted for priority review a supplemental Biologics License Application (sBLA) for VYVGART® (IV: efgartigimod alfa-fcab) for the treatment of adults with acetylcholine receptor antibody (AChR-Ab) seronegative generalized myasthenia gravis (gMG). The application has been granted a Prescription Drug User Fee Act (PDUFA) target action date of May 10,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“Patients living with seronegative gMG continue to face limited treatment options and there remains a significant need to meaningfully improve their lives. The FDA’s acceptance of our sBLA with Priority Review status reflects the potential of VYVGART to address this need,” said Luc Truyen, M.D., Ph.D., Chief Medical Officer, argenx. “This development brings us closer to expanding the use of VYVGART in a broad spectrum of patients with myasthenia gravis. We look forward to continuing our dialogue with the FDA as they review our application.”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sBLA is supported by data from the Phase 3 ADAPT SERON study, which evaluated the efficacy and safety of VYVGART in adults with AChR-Ab seronegative gMG across all three subtypes – MuSK+, LRP4+, and triple seronegative gMG. The study met its primary endpoint (p-value=0.0068), demonstrating a statistically significant improvement in Myasthenia Gravis Activities of Daily Living (MG-ADL) total score compared to placebo after four weeks.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overall population, mean change from baseline in patients treated with VYVGART was a clinically meaningful 3.35 point improvement in MG-ADL total score at week 4. Improvements in MG-ADL and Quantitative Myasthenia Gravis (QMG) scores were observed across subsequent treatment cycles in the overall population and in all patient subgroups, including MuSK+, LRP4+, and triple seronegative gMG.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VYVGART was well-tolerated with a safety profile consistent with the established profile of VYVGART in patients with AChR-Ab seropositive gMG and other indications. No new safety concerns were identified.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ADAPT SERON Study Design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Phase 3 ADAPT SERON study is a randomized, double-blind, placebo-controlled, multi-center study evaluating the safety and efficacy of efgartigimod in adults with AChR-Ab seronegative gMG (n=119) across North America, Europe, China, and the Middle East. Part A randomized participants (1:1) received 4 once-weekly infusions of efgartigimod IV or placebo, followed by a 5-week follow-up and primary analysis. Part B is an open-label extension: participants receive 2 fixed cycles of 4 once-weekly efgartigimod infusions (4-week interval between cycles); from cycle 3 onward, additional cycles could be started ≥1 week after the last administration of the previous cycle, based on clinical status. The primary endpoint is the MG-ADL total score change from baseline to day 29 in part A. Other scales of evaluation include QMG, MG-QoL 15r, MGC, and EQ-5D-5L VAS. Enrolled participants had a confirmed MG diagnosis by an independent panel of experts, and an MG-ADL total score of 5 or greater. Participants were on a stable dose of at least one gMG treatment prior to randomization, including acetylcholinesterase inhibitors, corticosteroids or nonsteroidal immunosuppressive drugs. Participants were eligible to enroll in ADAPT SERON if they were AChR-Ab seronegative, which included participants who are MuSK-Ab seropositive, LRP4-Ab seropositive, or triple seronegative.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31495"/>
                    </a:xfrm>
                    <a:prstGeom prst="rect">
                      <a:avLst/>
                    </a:prstGeom>
                    <a:noFill/>
                  </pic:spPr>
                </pic:pic>
              </a:graphicData>
            </a:graphic>
          </wp:anchor>
        </w:drawing>
      </w:r>
    </w:p>
    <w:p>
      <w:pPr>
        <w:spacing w:after="0" w:line="3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MG-ADL is a validated measure of disease activity in patients living with myasthenia gravis, which evaluates the functional impact of symptoms on daily activities such as speaking, chewing, swallowing, breathing, and limb strength.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AChR-Ab Seronegative Generalized Myasthenia Gravis (gMG)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Generalized myasthenia gravis (gMG) is a rare, chronic, neuromuscular autoimmune disease caused by pathogenic IgGs targeting the neuromuscular junction (NMJ), resulting in impaired neuromuscular transmission and debilitating and potentially life-threatening muscle weakness and chronic fatigue. Approximately 80% of patients with gMG have detectable antibodies against the AChR in sera, and these patients are diagnosed as AChR-Ab seropositive gMG. Approximately 20% of patients with gMG do not have detectable serum antibodies directed against AChR and are referred to as AChR-Ab seronegative gMG. These patients may have detectable autoantibodies targeting other NMJ proteins, such as muscle-specific tyrosine kinase (MuSK) and low-density lipoprotein receptor-related protein 4 (LRP4), or others. Anti-MuSK antibodies are detected in approximately 1-10% of patients with gMG, while anti-LRP4 antibodies are detected in approximately 1-5% of patients with gMG. About 10% of patients do not have any detectable autoantibodies against AChR, MuSK or LRP4. These triple seronegative patients have historically been excluded from studies and have a higher disease burden and unmet medical need compared to patients with detectable autoantibodies. Currently, there are no approved treatments available for patients with anti-LRP4 antibodies or for triple seronegative patients.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VYVGART</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(efgartigimod alfa-fcab)?</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VYVGART is a prescription medicine used to treat a condition called generalized myasthenia gravis, which causes muscles to tire and weaken easily throughout the body, in adults who are positive for antibodies directed toward a protein called acetylcholine receptor (anti-AChR antibody positive).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 not use VYVGART if you have a serious allergy to efgartigimod alfa or any of the other ingredients in VYVGART. VYVGART can cause serious allergic reactions and a decrease in blood pressure leading to fainting.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VYVGART may cause serious side effects, including:</w:t>
      </w:r>
    </w:p>
    <w:p>
      <w:pPr>
        <w:spacing w:after="0" w:line="225" w:lineRule="exact"/>
        <w:rPr>
          <w:sz w:val="20"/>
          <w:szCs w:val="20"/>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Infection.</w:t>
      </w:r>
      <w:r>
        <w:rPr>
          <w:rFonts w:ascii="Times New Roman" w:cs="Times New Roman" w:eastAsia="Times New Roman" w:hAnsi="Times New Roman"/>
          <w:sz w:val="18"/>
          <w:szCs w:val="18"/>
          <w:color w:val="auto"/>
        </w:rPr>
        <w:t> VYVGART may increase the risk of infection. The most common infections were urinary tract and respiratory tract infections. Signs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symptoms of an infection may include fever, chills, frequent and/or painful urination, cough, pain and blockage of nasal passages/sinus, wheezing, shortness of breath, fatigue, sore throat, excess phlegm, nasal discharge, back pain, and/or chest pain.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Allergic Reactions (hypersensitivity reactions).</w:t>
      </w:r>
      <w:r>
        <w:rPr>
          <w:rFonts w:ascii="Times New Roman" w:cs="Times New Roman" w:eastAsia="Times New Roman" w:hAnsi="Times New Roman"/>
          <w:sz w:val="18"/>
          <w:szCs w:val="18"/>
          <w:color w:val="auto"/>
        </w:rPr>
        <w:t> VYVGART can cause allergic reactions such as rashes, swelling under the skin, and shortness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breath. Serious allergic reactions, such as trouble breathing and decrease in blood pressure leading to fainting have been reported with VYVGART.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31495"/>
                    </a:xfrm>
                    <a:prstGeom prst="rect">
                      <a:avLst/>
                    </a:prstGeom>
                    <a:noFill/>
                  </pic:spPr>
                </pic:pic>
              </a:graphicData>
            </a:graphic>
          </wp:anchor>
        </w:drawing>
      </w:r>
    </w:p>
    <w:p>
      <w:pPr>
        <w:spacing w:after="0" w:line="368" w:lineRule="exact"/>
        <w:rPr>
          <w:sz w:val="20"/>
          <w:szCs w:val="20"/>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Infusion-Related Reactions.</w:t>
      </w:r>
      <w:r>
        <w:rPr>
          <w:rFonts w:ascii="Times New Roman" w:cs="Times New Roman" w:eastAsia="Times New Roman" w:hAnsi="Times New Roman"/>
          <w:sz w:val="18"/>
          <w:szCs w:val="18"/>
          <w:color w:val="auto"/>
        </w:rPr>
        <w:t> VYVGART can cause infusion-related reactions. The most frequent symptoms and signs reported with VYVGART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high blood pressure, chills, shivering, and chest, abdominal, and back pain.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Tell your doctor if you have signs or symptoms of an infection, allergic reaction, or infusion-related reaction. These can happen while you are receiving your VYVGART treatment or afterward. Your doctor may need to pause or stop your treatment. Contact your doctor immediately if you have signs or symptoms of a serious allergic reaction.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taking VYVGART, tell your doctor if you:</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medicines, including prescription and non-prescription medicines, supplements, or herbal medicines,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received or are scheduled to receive a vaccine (immunization),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allergies or medical conditions, including if you are pregnant or planning to become pregnant, or are breastfeeding.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common side effects of VYVGART?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common side effects of VYVGART are respiratory tract infection, headache, and urinary tract infection.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are not all the possible side effects of VYVGART. Call your doctor for medical advice about side effects. You may report side effects to the US Food and Drug Administration at 1-800-FDA-1088.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the full</w:t>
      </w:r>
      <w:r>
        <w:rPr>
          <w:rFonts w:ascii="Times New Roman" w:cs="Times New Roman" w:eastAsia="Times New Roman" w:hAnsi="Times New Roman"/>
          <w:sz w:val="18"/>
          <w:szCs w:val="18"/>
          <w:b w:val="1"/>
          <w:bCs w:val="1"/>
          <w:u w:val="single" w:color="auto"/>
          <w:color w:val="auto"/>
        </w:rPr>
        <w:t> Prescribing Information </w:t>
      </w:r>
      <w:r>
        <w:rPr>
          <w:rFonts w:ascii="Times New Roman" w:cs="Times New Roman" w:eastAsia="Times New Roman" w:hAnsi="Times New Roman"/>
          <w:sz w:val="18"/>
          <w:szCs w:val="18"/>
          <w:b w:val="1"/>
          <w:bCs w:val="1"/>
          <w:color w:val="auto"/>
        </w:rPr>
        <w:t>for VYVGART and talk to your doctor.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VYVGART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VYVGART is a human IgG1 antibody fragment that binds to the neonatal Fc receptor (FcRn), resulting in the reduction of circulating IgG autoantibodies. It is the first approved FcRn blocker in the United States, EU, China and Canada for the treatment of adults with generalized myasthenia gravis (gMG) who are anti-acetylcholine receptor (AChR) antibody positive and in Japan for the treatment of adults with gMG who do not have sufficient response to steroids or non-steroidal immunosuppressive therapies (ISTs).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argenx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3149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press release contains inside information within the meaning of Article 7(1) of the EU Market Abuse Regulation (Regulation 596/2014).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McBean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cmcbean@argenx.com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contents of this announcement include statements that are, or may be deemed to be, “forward-looking statements.” These forward-looking statements can be identified by the use of forward-looking terminology, including the terms “commit,” and “continue,” and include statements argenx makes concerning the potential of VYVGART to meaningfully improve the lives of seronegative gMG patients who continue to face limited treatment options; its goal to expand the use of VYVGART in a broad spectrum of patients with myasthenia gravis; its commitment to improve the lives of people suffering from severe autoimmune diseases; and its aim to translate immunology breakthroughs into a world-class portfolio of novel antibody-based medicines.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eg"/><Relationship Id="rId25" Type="http://schemas.openxmlformats.org/officeDocument/2006/relationships/image" Target="media/image14.png"/><Relationship Id="rId26" Type="http://schemas.openxmlformats.org/officeDocument/2006/relationships/image" Target="media/image15.jpeg"/><Relationship Id="rId27" Type="http://schemas.openxmlformats.org/officeDocument/2006/relationships/image" Target="media/image16.png"/><Relationship Id="rId28" Type="http://schemas.openxmlformats.org/officeDocument/2006/relationships/image" Target="media/image17.jpeg"/><Relationship Id="rId29" Type="http://schemas.openxmlformats.org/officeDocument/2006/relationships/image" Target="media/image18.png"/><Relationship Id="rId30" Type="http://schemas.openxmlformats.org/officeDocument/2006/relationships/image" Target="media/image19.jpeg"/><Relationship Id="rId31" Type="http://schemas.openxmlformats.org/officeDocument/2006/relationships/image" Target="media/image20.png"/><Relationship Id="rId18" Type="http://schemas.openxmlformats.org/officeDocument/2006/relationships/hyperlink" Target="https://www.sec.gov/Archives/edgar/data/1697862/000110465925122044/tm2533221d1_s8.htm" TargetMode="External"/><Relationship Id="rId19" Type="http://schemas.openxmlformats.org/officeDocument/2006/relationships/hyperlink" Target="https://www.sec.gov/Archives/edgar/data/1697862/000110465918037616/a18-14643_3s8.htm" TargetMode="External"/><Relationship Id="rId20" Type="http://schemas.openxmlformats.org/officeDocument/2006/relationships/hyperlink" Target="https://www.sec.gov/Archives/edgar/data/1697862/000110465921097298/tm2123453d1_s8.htm" TargetMode="External"/><Relationship Id="rId21" Type="http://schemas.openxmlformats.org/officeDocument/2006/relationships/hyperlink" Target="https://www.sec.gov/Archives/edgar/data/1697862/000110465923104307/tm232637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2026-01-13T05:25:06Z</dcterms:created>
  <dcterms:modified xsi:type="dcterms:W3CDTF">2026-01-13T05:25:06Z</dcterms:modified>
</cp:coreProperties>
</file>