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283"/>
        <w:ind w:left="0" w:right="0" w:hanging="0"/>
        <w:jc w:val="center"/>
        <w:rPr>
          <w:rFonts w:ascii="Times New Roman;Times;serif" w:hAnsi="Times New Roman;Times;serif"/>
          <w:b/>
          <w:color w:val="000000"/>
          <w:sz w:val="36"/>
        </w:rPr>
      </w:pPr>
      <w:bookmarkStart w:id="0" w:name="ny20080629x1_sctota_100-regcov_pg1"/>
      <w:bookmarkStart w:id="1" w:name="ny20080629x1_sctota.htm"/>
      <w:bookmarkStart w:id="2" w:name="ksny20080629x1_sctota"/>
      <w:bookmarkEnd w:id="0"/>
      <w:bookmarkEnd w:id="1"/>
      <w:bookmarkEnd w:id="2"/>
      <w:r>
        <w:rPr>
          <w:rFonts w:ascii="Times New Roman;Times;serif" w:hAnsi="Times New Roman;Times;serif"/>
          <w:b/>
          <w:color w:val="000000"/>
          <w:sz w:val="36"/>
        </w:rPr>
        <w:t xml:space="preserve">UNITED STATES </w:t>
      </w:r>
    </w:p>
    <w:p>
      <w:pPr>
        <w:pStyle w:val="TextBody"/>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SECURITIES AND EXCHANGE COMMISSION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Washington, D.C. 20549</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5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TENDER OFFER STATEMENT UNDER SECTION 14(D)(1) OR 13(E)(1)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 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 2</w:t>
      </w:r>
    </w:p>
    <w:p>
      <w:pPr>
        <w:pStyle w:val="TextBody"/>
        <w:bidi w:val="0"/>
        <w:spacing w:before="1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FORTE BIOSCIENCES, INC.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(Name of Subject Company (Issuer))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AVENA MERGER SUB INC.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 Wholly Owned Subsidiary of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BV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(Parent of 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 Wholly Owned Subsidiary of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SE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(Parent of 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(Names of Filing Persons (identifying status as offeror, issuer or other person))</w:t>
      </w:r>
    </w:p>
    <w:p>
      <w:pPr>
        <w:pStyle w:val="TextBody"/>
        <w:bidi w:val="0"/>
        <w:spacing w:before="17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Common Stock, par value $0.001 per share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(Title of Class of Securities) </w:t>
      </w:r>
    </w:p>
    <w:p>
      <w:pPr>
        <w:pStyle w:val="TextBody"/>
        <w:bidi w:val="0"/>
        <w:spacing w:before="13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34962G208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(CUSIP Number of Class of Securities) </w:t>
      </w:r>
    </w:p>
    <w:p>
      <w:pPr>
        <w:pStyle w:val="TextBody"/>
        <w:bidi w:val="0"/>
        <w:spacing w:before="13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Hemamalini (Malini) Moorthy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argenx BV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Industriepark Zwijnaarde 7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9052 Zwijnaarde (Ghent)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Belgium</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+31(0)10 70 38 441</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(Name, Address and Telephone Number of Person Authorized to Receive Notices and Communications on Behalf of Filing Persons)</w:t>
      </w:r>
    </w:p>
    <w:p>
      <w:pPr>
        <w:pStyle w:val="TextBody"/>
        <w:bidi w:val="0"/>
        <w:spacing w:before="160" w:after="283"/>
        <w:jc w:val="center"/>
        <w:rPr>
          <w:rFonts w:ascii="Times New Roman;Times;serif" w:hAnsi="Times New Roman;Times;serif"/>
          <w:b/>
          <w:i/>
          <w:color w:val="000000"/>
          <w:sz w:val="19"/>
        </w:rPr>
      </w:pPr>
      <w:r>
        <w:rPr>
          <w:rFonts w:ascii="Times New Roman;Times;serif" w:hAnsi="Times New Roman;Times;serif"/>
          <w:b/>
          <w:i/>
          <w:color w:val="000000"/>
          <w:sz w:val="19"/>
        </w:rPr>
        <w:t xml:space="preserve">Copies to: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Damien Zoubek,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Oliver J. Board,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Freshfields US LLP</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3 World Trade Center</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175 Greenwich Street</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New York, NY 10007</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(212) 277-4000</w:t>
      </w:r>
    </w:p>
    <w:tbl>
      <w:tblPr>
        <w:tblW w:w="10205" w:type="dxa"/>
        <w:jc w:val="left"/>
        <w:tblInd w:w="0" w:type="dxa"/>
        <w:tblLayout w:type="fixed"/>
        <w:tblCellMar>
          <w:top w:w="0" w:type="dxa"/>
          <w:left w:w="0" w:type="dxa"/>
          <w:bottom w:w="0" w:type="dxa"/>
          <w:right w:w="0" w:type="dxa"/>
        </w:tblCellMar>
      </w:tblPr>
      <w:tblGrid>
        <w:gridCol w:w="290"/>
        <w:gridCol w:w="140"/>
        <w:gridCol w:w="140"/>
        <w:gridCol w:w="9635"/>
      </w:tblGrid>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5"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Check the box if the filing relates solely to preliminary communications made before the commencement of a tender offer. Check the appropriate boxes below to designate any transactions to which the statement relates:</w:t>
            </w:r>
          </w:p>
        </w:tc>
      </w:tr>
    </w:tbl>
    <w:tbl>
      <w:tblPr>
        <w:tblW w:w="4985" w:type="dxa"/>
        <w:jc w:val="left"/>
        <w:tblInd w:w="0" w:type="dxa"/>
        <w:tblLayout w:type="fixed"/>
        <w:tblCellMar>
          <w:top w:w="0" w:type="dxa"/>
          <w:left w:w="0" w:type="dxa"/>
          <w:bottom w:w="0" w:type="dxa"/>
          <w:right w:w="0" w:type="dxa"/>
        </w:tblCellMar>
      </w:tblPr>
      <w:tblGrid>
        <w:gridCol w:w="155"/>
        <w:gridCol w:w="140"/>
        <w:gridCol w:w="140"/>
        <w:gridCol w:w="275"/>
        <w:gridCol w:w="140"/>
        <w:gridCol w:w="140"/>
        <w:gridCol w:w="39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Third-party tender offer subject to Rule 14d-1.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Issuer tender offer subject to Rule 13e-4.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Going-private transaction subject to Rule 13e-3.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Amendment to Schedule 13D under Rule 13d-2.</w:t>
            </w:r>
          </w:p>
        </w:tc>
      </w:tr>
    </w:tbl>
    <w:p>
      <w:pPr>
        <w:pStyle w:val="TextBody"/>
        <w:bidi w:val="0"/>
        <w:spacing w:before="120" w:after="283"/>
        <w:ind w:left="12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Check the following box if the filing is a final amendment reporting the results of the tender offer:  ☐ </w:t>
      </w:r>
    </w:p>
    <w:p>
      <w:pPr>
        <w:pStyle w:val="TextBody"/>
        <w:bidi w:val="0"/>
        <w:spacing w:before="4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applicable, check the appropriate box(es) below to designate the appropriate rule provision(s) relied upon: </w:t>
      </w:r>
    </w:p>
    <w:tbl>
      <w:tblPr>
        <w:tblW w:w="5435" w:type="dxa"/>
        <w:jc w:val="left"/>
        <w:tblInd w:w="0" w:type="dxa"/>
        <w:tblLayout w:type="fixed"/>
        <w:tblCellMar>
          <w:top w:w="0" w:type="dxa"/>
          <w:left w:w="0" w:type="dxa"/>
          <w:bottom w:w="0" w:type="dxa"/>
          <w:right w:w="0" w:type="dxa"/>
        </w:tblCellMar>
      </w:tblPr>
      <w:tblGrid>
        <w:gridCol w:w="155"/>
        <w:gridCol w:w="140"/>
        <w:gridCol w:w="140"/>
        <w:gridCol w:w="275"/>
        <w:gridCol w:w="140"/>
        <w:gridCol w:w="140"/>
        <w:gridCol w:w="44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Rule 13e-4(i) (Cross-Border Issuer Tender Offer)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Rule 14d-1(d) (Cross-Border Third-Party Tender Offer)</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3" w:name="ny20080629x1_sctota_101-note_pg1"/>
      <w:bookmarkEnd w:id="3"/>
      <w:r>
        <w:rPr>
          <w:rFonts w:ascii="Times New Roman;Times;serif" w:hAnsi="Times New Roman;Times;serif"/>
          <w:color w:val="000000"/>
          <w:sz w:val="20"/>
        </w:rPr>
        <w:t>This Amendment No. 2 (this “</w:t>
      </w:r>
      <w:r>
        <w:rPr>
          <w:rFonts w:ascii="Times New Roman;Times;serif" w:hAnsi="Times New Roman;Times;serif"/>
          <w:b/>
          <w:color w:val="000000"/>
          <w:sz w:val="20"/>
        </w:rPr>
        <w:t>Amendment</w:t>
      </w:r>
      <w:r>
        <w:rPr>
          <w:rFonts w:ascii="Times New Roman;Times;serif" w:hAnsi="Times New Roman;Times;serif"/>
          <w:color w:val="000000"/>
          <w:sz w:val="20"/>
        </w:rPr>
        <w:t>”) to Schedule TO amends and supplements the Tender Offer Statement on Schedule TO filed with the Securities and Exchange Commission on August 6, 2026 (together with any subsequent amendments and supplements thereto, the “</w:t>
      </w:r>
      <w:r>
        <w:rPr>
          <w:rFonts w:ascii="Times New Roman;Times;serif" w:hAnsi="Times New Roman;Times;serif"/>
          <w:b/>
          <w:color w:val="000000"/>
          <w:sz w:val="20"/>
        </w:rPr>
        <w:t>Schedule TO</w:t>
      </w:r>
      <w:r>
        <w:rPr>
          <w:rFonts w:ascii="Times New Roman;Times;serif" w:hAnsi="Times New Roman;Times;serif"/>
          <w:color w:val="000000"/>
          <w:sz w:val="20"/>
        </w:rPr>
        <w:t>”),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The Schedule TO relates to the offer by Purchaser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subject to any applicable withholding taxes, upon the terms and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in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xml:space="preserve">”), copies of which are attached to the Schedule TO as Exhibits (a)(1)(i) and (a)(1)(ii),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and the accompanying Letter of Transmittal is hereby expressly incorporated herein by reference in response to Items 1 through 9 and Item 11 of the Schedule TO and is supplemented by the information specifically provided in this Amendment. This Amendment should be read together with the Schedule TO. Capitalized terms used and not otherwise defined in this Amendment have the meanings given to such terms in the Offer to Purchase.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Item 1 through 9; Item 11.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Items 1 through 9 and Item 11 of the Schedule TO, to the extent such Items incorporate by reference the information contained in the Offer to Purchase, are hereby amended and supplemented by amending and restating the second paragraph under the heading “</w:t>
      </w:r>
      <w:r>
        <w:rPr>
          <w:rFonts w:ascii="Times New Roman;Times;serif" w:hAnsi="Times New Roman;Times;serif"/>
          <w:i/>
          <w:color w:val="000000"/>
          <w:sz w:val="20"/>
        </w:rPr>
        <w:t>U.S. Antitrust</w:t>
      </w:r>
      <w:r>
        <w:rPr>
          <w:rFonts w:ascii="Times New Roman;Times;serif" w:hAnsi="Times New Roman;Times;serif"/>
          <w:color w:val="000000"/>
          <w:sz w:val="20"/>
        </w:rPr>
        <w:t>” in “—</w:t>
      </w:r>
      <w:r>
        <w:rPr>
          <w:rFonts w:ascii="Times New Roman;Times;serif" w:hAnsi="Times New Roman;Times;serif"/>
          <w:i/>
          <w:color w:val="000000"/>
          <w:sz w:val="20"/>
        </w:rPr>
        <w:t>Section 16—Certain Legal Matters; Regulatory Approvals</w:t>
      </w:r>
      <w:r>
        <w:rPr>
          <w:rFonts w:ascii="Times New Roman;Times;serif" w:hAnsi="Times New Roman;Times;serif"/>
          <w:color w:val="000000"/>
          <w:sz w:val="20"/>
        </w:rPr>
        <w:t>” of the Offer to Purchase as follows:</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On August 3, 2026, each of Parent and Forte filed with the Antitrust Division and the FTC a Premerger Notification and Report Form under the HSR Act with respect to the Offer and the Merger. The waiting period applicable to the purchase of Shares pursuant to the Offer expired at 11:59 p.m., Eastern Time, on August 18, 2026. Accordingly, the HSR Clearance Condition has been satisfied. The Offer continues to be subject to the remaining conditions set forth in the Offer to Purchase. See “—</w:t>
      </w:r>
      <w:r>
        <w:rPr>
          <w:rFonts w:ascii="Times New Roman;Times;serif" w:hAnsi="Times New Roman;Times;serif"/>
          <w:i/>
          <w:color w:val="000000"/>
          <w:sz w:val="20"/>
        </w:rPr>
        <w:t>Section 15—Conditions to the Offer</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4" w:name="ny20080629x1_sctota_102-sig_pg1"/>
      <w:bookmarkEnd w:id="4"/>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tbl>
      <w:tblPr>
        <w:tblW w:w="6425" w:type="dxa"/>
        <w:jc w:val="left"/>
        <w:tblInd w:w="0" w:type="dxa"/>
        <w:tblLayout w:type="fixed"/>
        <w:tblCellMar>
          <w:top w:w="0" w:type="dxa"/>
          <w:left w:w="0" w:type="dxa"/>
          <w:bottom w:w="0" w:type="dxa"/>
          <w:right w:w="0" w:type="dxa"/>
        </w:tblCellMar>
      </w:tblPr>
      <w:tblGrid>
        <w:gridCol w:w="1865"/>
        <w:gridCol w:w="140"/>
        <w:gridCol w:w="140"/>
        <w:gridCol w:w="320"/>
        <w:gridCol w:w="140"/>
        <w:gridCol w:w="140"/>
        <w:gridCol w:w="368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AVENA MERGER SUB INC.</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Hemamalini (Malini) Moorthy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Hemamalini (Malini) Moorthy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Vice President &amp; Secretary</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ARGENX BV</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Arjen Lemmen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Arjen Lemmen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VP Corporate Development &amp; Strategy</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ARGENX SE</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August 19,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Karen Massey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Karen Massey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4203</Characters>
  <CharactersWithSpaces>5122</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