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288290</wp:posOffset>
            </wp:positionH>
            <wp:positionV relativeFrom="page">
              <wp:posOffset>706120</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723265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jc w:val="center"/>
        <w:ind w:right="-980"/>
        <w:spacing w:after="0" w:line="226"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69780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9780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7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ind w:left="4280"/>
        <w:spacing w:after="0" w:line="204" w:lineRule="auto"/>
        <w:rPr>
          <w:sz w:val="20"/>
          <w:szCs w:val="20"/>
          <w:color w:val="auto"/>
        </w:rPr>
      </w:pPr>
      <w:r>
        <w:rPr>
          <w:rFonts w:ascii="Times New Roman" w:cs="Times New Roman" w:eastAsia="Times New Roman" w:hAnsi="Times New Roman"/>
          <w:sz w:val="13"/>
          <w:szCs w:val="13"/>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For the Month of February 2026</w:t>
      </w:r>
    </w:p>
    <w:p>
      <w:pPr>
        <w:spacing w:after="0" w:line="1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1"/>
          <w:szCs w:val="11"/>
          <w:b w:val="1"/>
          <w:bCs w:val="1"/>
          <w:color w:val="auto"/>
        </w:rPr>
        <w:t>Commission File Number: 001-38097</w:t>
      </w:r>
    </w:p>
    <w:p>
      <w:pPr>
        <w:spacing w:after="0" w:line="16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6"/>
          <w:szCs w:val="26"/>
          <w:b w:val="1"/>
          <w:bCs w:val="1"/>
          <w:color w:val="auto"/>
        </w:rPr>
        <w:t>ARGENX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6978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978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Laarderhoogtweg 25</w:t>
      </w: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1101 EB Amsterdam, the Netherlands</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8"/>
          <w:szCs w:val="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9780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files or will file annual reports under cover of Form 20-F or Form 40-F.</w:t>
      </w:r>
    </w:p>
    <w:p>
      <w:pPr>
        <w:spacing w:after="0" w:line="120" w:lineRule="exact"/>
        <w:rPr>
          <w:sz w:val="24"/>
          <w:szCs w:val="24"/>
          <w:color w:val="auto"/>
        </w:rPr>
      </w:pPr>
    </w:p>
    <w:p>
      <w:pPr>
        <w:ind w:left="4820"/>
        <w:spacing w:after="0" w:line="148" w:lineRule="exact"/>
        <w:tabs>
          <w:tab w:leader="none" w:pos="5540" w:val="left"/>
        </w:tabs>
        <w:rPr>
          <w:sz w:val="20"/>
          <w:szCs w:val="20"/>
          <w:color w:val="auto"/>
        </w:rPr>
      </w:pPr>
      <w:r>
        <w:rPr>
          <w:rFonts w:ascii="Times New Roman" w:cs="Times New Roman" w:eastAsia="Times New Roman" w:hAnsi="Times New Roman"/>
          <w:sz w:val="11"/>
          <w:szCs w:val="11"/>
          <w:color w:val="auto"/>
        </w:rPr>
        <w:t xml:space="preserve">Form 20-F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Form 40-F </w:t>
      </w:r>
      <w:r>
        <w:rPr>
          <w:rFonts w:ascii="Arial Unicode MS" w:cs="Arial Unicode MS" w:eastAsia="Arial Unicode MS" w:hAnsi="Arial Unicode MS"/>
          <w:sz w:val="10"/>
          <w:szCs w:val="10"/>
          <w:color w:val="auto"/>
        </w:rPr>
        <w:t>☐</w:t>
      </w:r>
    </w:p>
    <w:p>
      <w:pPr>
        <w:spacing w:after="0" w:line="26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 (1): </w:t>
      </w:r>
      <w:r>
        <w:rPr>
          <w:rFonts w:ascii="MS PGothic" w:cs="MS PGothic" w:eastAsia="MS PGothic" w:hAnsi="MS PGothic"/>
          <w:sz w:val="10"/>
          <w:szCs w:val="10"/>
          <w:color w:val="auto"/>
        </w:rPr>
        <w:t>☐</w:t>
      </w:r>
    </w:p>
    <w:p>
      <w:pPr>
        <w:spacing w:after="0" w:line="119"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101(b)(7):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69780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ectPr>
          <w:pgSz w:w="11900" w:h="16838" w:orient="portrait"/>
          <w:cols w:equalWidth="0" w:num="1">
            <w:col w:w="9999"/>
          </w:cols>
          <w:pgMar w:left="460" w:top="1280" w:right="1440" w:bottom="1440" w:gutter="0" w:footer="0" w:header="0"/>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266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5715"/>
                    </a:xfrm>
                    <a:prstGeom prst="rect">
                      <a:avLst/>
                    </a:prstGeom>
                    <a:noFill/>
                  </pic:spPr>
                </pic:pic>
              </a:graphicData>
            </a:graphic>
          </wp:anchor>
        </w:drawing>
        <w:t>EXPLANATORY NOTE</w:t>
      </w:r>
    </w:p>
    <w:p>
      <w:pPr>
        <w:spacing w:after="0" w:line="20"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11"/>
          <w:szCs w:val="11"/>
          <w:color w:val="auto"/>
        </w:rPr>
        <w:t>On February 26, 2026, argenx SE (the “Company’’) issued a press release, an investor presentation and its full year 2025 unaudited financial results, copies of which are attached hereto as Exhibits 99.1, Exhibit 99.2 and Exhibit 99.3, respectively, and are incorporated by reference herein.</w:t>
      </w:r>
    </w:p>
    <w:p>
      <w:pPr>
        <w:spacing w:after="0" w:line="151" w:lineRule="exact"/>
        <w:rPr>
          <w:sz w:val="20"/>
          <w:szCs w:val="20"/>
          <w:color w:val="auto"/>
        </w:rPr>
      </w:pPr>
    </w:p>
    <w:p>
      <w:pPr>
        <w:ind w:right="340"/>
        <w:spacing w:after="0" w:line="237" w:lineRule="auto"/>
        <w:rPr>
          <w:rFonts w:ascii="Times New Roman" w:cs="Times New Roman" w:eastAsia="Times New Roman" w:hAnsi="Times New Roman"/>
          <w:sz w:val="11"/>
          <w:szCs w:val="11"/>
          <w:i w:val="1"/>
          <w:iCs w:val="1"/>
          <w:color w:val="0000FF"/>
        </w:rPr>
      </w:pPr>
      <w:hyperlink r:id="rId17">
        <w:r>
          <w:rPr>
            <w:rFonts w:ascii="Times New Roman" w:cs="Times New Roman" w:eastAsia="Times New Roman" w:hAnsi="Times New Roman"/>
            <w:sz w:val="11"/>
            <w:szCs w:val="11"/>
            <w:i w:val="1"/>
            <w:iCs w:val="1"/>
            <w:color w:val="auto"/>
          </w:rPr>
          <w:t xml:space="preserve">The information contained in this Current Report on Form 6-K, including Exhibit 99.1, Exhibit 99.2 and Exhibit 99.3, shall be deemed to be incorporated by reference into the Company’s Registration Statements on Form S-8 (File Nos. </w:t>
        </w:r>
        <w:r>
          <w:rPr>
            <w:rFonts w:ascii="Times New Roman" w:cs="Times New Roman" w:eastAsia="Times New Roman" w:hAnsi="Times New Roman"/>
            <w:sz w:val="11"/>
            <w:szCs w:val="11"/>
            <w:i w:val="1"/>
            <w:iCs w:val="1"/>
            <w:u w:val="single" w:color="auto"/>
            <w:color w:val="0000FF"/>
          </w:rPr>
          <w:t>333-292200</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i w:val="1"/>
            <w:iCs w:val="1"/>
            <w:u w:val="single" w:color="auto"/>
            <w:color w:val="0000FF"/>
          </w:rPr>
          <w:t>333-</w:t>
        </w:r>
      </w:hyperlink>
      <w:hyperlink r:id="rId17">
        <w:r>
          <w:rPr>
            <w:rFonts w:ascii="Times New Roman" w:cs="Times New Roman" w:eastAsia="Times New Roman" w:hAnsi="Times New Roman"/>
            <w:sz w:val="11"/>
            <w:szCs w:val="11"/>
            <w:i w:val="1"/>
            <w:iCs w:val="1"/>
            <w:u w:val="single" w:color="auto"/>
            <w:color w:val="0000FF"/>
          </w:rPr>
          <w:t>225375</w:t>
        </w:r>
        <w:r>
          <w:rPr>
            <w:rFonts w:ascii="Times New Roman" w:cs="Times New Roman" w:eastAsia="Times New Roman" w:hAnsi="Times New Roman"/>
            <w:sz w:val="11"/>
            <w:szCs w:val="11"/>
            <w:i w:val="1"/>
            <w:iCs w:val="1"/>
            <w:color w:val="000000"/>
          </w:rPr>
          <w:t>,</w:t>
        </w:r>
        <w:r>
          <w:rPr>
            <w:rFonts w:ascii="Times New Roman" w:cs="Times New Roman" w:eastAsia="Times New Roman" w:hAnsi="Times New Roman"/>
            <w:sz w:val="11"/>
            <w:szCs w:val="11"/>
            <w:i w:val="1"/>
            <w:iCs w:val="1"/>
            <w:color w:val="0000FF"/>
          </w:rPr>
          <w:t xml:space="preserve"> </w:t>
        </w:r>
      </w:hyperlink>
      <w:hyperlink r:id="rId18">
        <w:r>
          <w:rPr>
            <w:rFonts w:ascii="Times New Roman" w:cs="Times New Roman" w:eastAsia="Times New Roman" w:hAnsi="Times New Roman"/>
            <w:sz w:val="11"/>
            <w:szCs w:val="11"/>
            <w:i w:val="1"/>
            <w:iCs w:val="1"/>
            <w:u w:val="single" w:color="auto"/>
            <w:color w:val="0000FF"/>
          </w:rPr>
          <w:t>333-258253</w:t>
        </w:r>
      </w:hyperlink>
      <w:hyperlink r:id="rId17">
        <w:r>
          <w:rPr>
            <w:rFonts w:ascii="Times New Roman" w:cs="Times New Roman" w:eastAsia="Times New Roman" w:hAnsi="Times New Roman"/>
            <w:sz w:val="11"/>
            <w:szCs w:val="11"/>
            <w:i w:val="1"/>
            <w:iCs w:val="1"/>
            <w:color w:val="000000"/>
          </w:rPr>
          <w:t>, and</w:t>
        </w:r>
        <w:r>
          <w:rPr>
            <w:rFonts w:ascii="Times New Roman" w:cs="Times New Roman" w:eastAsia="Times New Roman" w:hAnsi="Times New Roman"/>
            <w:sz w:val="11"/>
            <w:szCs w:val="11"/>
            <w:i w:val="1"/>
            <w:iCs w:val="1"/>
            <w:color w:val="0000FF"/>
          </w:rPr>
          <w:t xml:space="preserve"> </w:t>
        </w:r>
      </w:hyperlink>
      <w:hyperlink r:id="rId19">
        <w:r>
          <w:rPr>
            <w:rFonts w:ascii="Times New Roman" w:cs="Times New Roman" w:eastAsia="Times New Roman" w:hAnsi="Times New Roman"/>
            <w:sz w:val="11"/>
            <w:szCs w:val="11"/>
            <w:i w:val="1"/>
            <w:iCs w:val="1"/>
            <w:u w:val="single" w:color="auto"/>
            <w:color w:val="0000FF"/>
          </w:rPr>
          <w:t>333-274721</w:t>
        </w:r>
      </w:hyperlink>
      <w:hyperlink r:id="rId17">
        <w:r>
          <w:rPr>
            <w:rFonts w:ascii="Times New Roman" w:cs="Times New Roman" w:eastAsia="Times New Roman" w:hAnsi="Times New Roman"/>
            <w:sz w:val="11"/>
            <w:szCs w:val="11"/>
            <w:i w:val="1"/>
            <w:iCs w:val="1"/>
            <w:color w:val="000000"/>
          </w:rPr>
          <w:t>), and to be part thereof from the date on which this Current Report on Form 6-K is filed, to the extent not superseded by documents or reports subsequently filed or furnished.</w:t>
        </w:r>
      </w:hyperlink>
    </w:p>
    <w:p>
      <w:pPr>
        <w:spacing w:after="0" w:line="20" w:lineRule="exact"/>
        <w:rPr>
          <w:rFonts w:ascii="Times New Roman" w:cs="Times New Roman" w:eastAsia="Times New Roman" w:hAnsi="Times New Roman"/>
          <w:sz w:val="11"/>
          <w:szCs w:val="11"/>
          <w:i w:val="1"/>
          <w:iCs w:val="1"/>
          <w:color w:val="0000FF"/>
        </w:rPr>
      </w:pPr>
      <w:r>
        <w:rPr>
          <w:rFonts w:ascii="Times New Roman" w:cs="Times New Roman" w:eastAsia="Times New Roman" w:hAnsi="Times New Roman"/>
          <w:sz w:val="11"/>
          <w:szCs w:val="11"/>
          <w:i w:val="1"/>
          <w:iCs w:val="1"/>
          <w:color w:val="0000FF"/>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266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396" w:lineRule="exact"/>
        <w:rPr>
          <w:rFonts w:ascii="Times New Roman" w:cs="Times New Roman" w:eastAsia="Times New Roman" w:hAnsi="Times New Roman"/>
          <w:sz w:val="11"/>
          <w:szCs w:val="11"/>
          <w:i w:val="1"/>
          <w:iCs w:val="1"/>
          <w:color w:val="0000FF"/>
        </w:rPr>
      </w:pPr>
    </w:p>
    <w:p>
      <w:pPr>
        <w:jc w:val="center"/>
        <w:ind w:left="400"/>
        <w:spacing w:after="0"/>
        <w:rPr>
          <w:sz w:val="20"/>
          <w:szCs w:val="20"/>
          <w:color w:val="auto"/>
        </w:rPr>
      </w:pPr>
      <w:r>
        <w:rPr>
          <w:rFonts w:ascii="Times New Roman" w:cs="Times New Roman" w:eastAsia="Times New Roman" w:hAnsi="Times New Roman"/>
          <w:sz w:val="11"/>
          <w:szCs w:val="11"/>
          <w:b w:val="1"/>
          <w:bCs w:val="1"/>
          <w:color w:val="auto"/>
        </w:rPr>
        <w:t>EXHIBITS</w:t>
      </w:r>
    </w:p>
    <w:p>
      <w:pPr>
        <w:spacing w:after="0" w:line="34" w:lineRule="exact"/>
        <w:rPr>
          <w:rFonts w:ascii="Times New Roman" w:cs="Times New Roman" w:eastAsia="Times New Roman" w:hAnsi="Times New Roman"/>
          <w:sz w:val="11"/>
          <w:szCs w:val="11"/>
          <w:i w:val="1"/>
          <w:iCs w:val="1"/>
          <w:color w:val="0000FF"/>
        </w:rPr>
      </w:pPr>
    </w:p>
    <w:tbl>
      <w:tblPr>
        <w:tblLayout w:type="fixed"/>
        <w:tblInd w:w="0" w:type="dxa"/>
        <w:tblCellMar>
          <w:top w:w="0" w:type="dxa"/>
          <w:left w:w="0" w:type="dxa"/>
          <w:bottom w:w="0" w:type="dxa"/>
          <w:right w:w="0" w:type="dxa"/>
        </w:tblCellMar>
      </w:tblPr>
      <w:tr>
        <w:trPr>
          <w:trHeight w:val="115"/>
        </w:trPr>
        <w:tc>
          <w:tcPr>
            <w:tcW w:w="10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Exhibit</w:t>
            </w:r>
          </w:p>
        </w:tc>
        <w:tc>
          <w:tcPr>
            <w:tcW w:w="102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Description</w:t>
            </w:r>
          </w:p>
        </w:tc>
      </w:tr>
      <w:tr>
        <w:trPr>
          <w:trHeight w:val="135"/>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99.1</w:t>
            </w:r>
          </w:p>
        </w:tc>
        <w:tc>
          <w:tcPr>
            <w:tcW w:w="180" w:type="dxa"/>
            <w:vAlign w:val="bottom"/>
          </w:tcPr>
          <w:p>
            <w:pPr>
              <w:spacing w:after="0"/>
              <w:rPr>
                <w:sz w:val="11"/>
                <w:szCs w:val="11"/>
                <w:color w:val="auto"/>
              </w:rPr>
            </w:pPr>
          </w:p>
        </w:tc>
        <w:tc>
          <w:tcPr>
            <w:tcW w:w="10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Press Release dated February 26, 2026</w:t>
            </w:r>
          </w:p>
        </w:tc>
      </w:tr>
      <w:tr>
        <w:trPr>
          <w:trHeight w:val="153"/>
        </w:trPr>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99.2</w:t>
            </w:r>
          </w:p>
        </w:tc>
        <w:tc>
          <w:tcPr>
            <w:tcW w:w="180" w:type="dxa"/>
            <w:vAlign w:val="bottom"/>
          </w:tcPr>
          <w:p>
            <w:pPr>
              <w:spacing w:after="0"/>
              <w:rPr>
                <w:sz w:val="13"/>
                <w:szCs w:val="13"/>
                <w:color w:val="auto"/>
              </w:rPr>
            </w:pPr>
          </w:p>
        </w:tc>
        <w:tc>
          <w:tcPr>
            <w:tcW w:w="10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Investor Presentation dated February 26, 2026</w:t>
            </w:r>
          </w:p>
        </w:tc>
      </w:tr>
      <w:tr>
        <w:trPr>
          <w:trHeight w:val="16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99.3</w:t>
            </w:r>
          </w:p>
        </w:tc>
        <w:tc>
          <w:tcPr>
            <w:tcW w:w="18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Unaudited Full Year 2025 Financial Results</w:t>
            </w:r>
          </w:p>
        </w:tc>
      </w:tr>
    </w:tbl>
    <w:p>
      <w:pPr>
        <w:sectPr>
          <w:pgSz w:w="11900" w:h="16838" w:orient="portrait"/>
          <w:cols w:equalWidth="0" w:num="1">
            <w:col w:w="11300"/>
          </w:cols>
          <w:pgMar w:left="300" w:top="1028"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1"/>
          <w:szCs w:val="11"/>
          <w:b w:val="1"/>
          <w:bCs w:val="1"/>
          <w:color w:val="auto"/>
        </w:rPr>
        <w:t>ARGENX SE</w:t>
      </w:r>
    </w:p>
    <w:p>
      <w:pPr>
        <w:spacing w:after="0" w:line="20" w:lineRule="exact"/>
        <w:rPr>
          <w:sz w:val="20"/>
          <w:szCs w:val="20"/>
          <w:color w:val="auto"/>
        </w:rPr>
      </w:pPr>
    </w:p>
    <w:p>
      <w:pPr>
        <w:ind w:left="20"/>
        <w:spacing w:after="0"/>
        <w:tabs>
          <w:tab w:leader="none" w:pos="6620" w:val="left"/>
        </w:tabs>
        <w:rPr>
          <w:sz w:val="20"/>
          <w:szCs w:val="20"/>
          <w:color w:val="auto"/>
        </w:rPr>
      </w:pPr>
      <w:r>
        <w:rPr>
          <w:rFonts w:ascii="Times New Roman" w:cs="Times New Roman" w:eastAsia="Times New Roman" w:hAnsi="Times New Roman"/>
          <w:sz w:val="11"/>
          <w:szCs w:val="11"/>
          <w:color w:val="auto"/>
        </w:rPr>
        <w:t>Date: February 26, 2026</w:t>
      </w:r>
      <w:r>
        <w:rPr>
          <w:sz w:val="20"/>
          <w:szCs w:val="20"/>
          <w:color w:val="auto"/>
        </w:rPr>
        <w:tab/>
      </w:r>
      <w:r>
        <w:rPr>
          <w:rFonts w:ascii="Times New Roman" w:cs="Times New Roman" w:eastAsia="Times New Roman" w:hAnsi="Times New Roman"/>
          <w:sz w:val="11"/>
          <w:szCs w:val="11"/>
          <w:color w:val="auto"/>
        </w:rPr>
        <w:t>By: /s/ Hemamalini (Malini) Moorthy</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0"/>
          <w:szCs w:val="10"/>
          <w:color w:val="auto"/>
        </w:rPr>
        <w:t>Name: Hemamalini (Malini) 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-72390</wp:posOffset>
            </wp:positionV>
            <wp:extent cx="28460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46070" cy="571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1"/>
          <w:szCs w:val="1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14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argenx Reports Full Year 2025 Financial Results and Provides Fourth Quarter Business Update</w:t>
      </w:r>
    </w:p>
    <w:p>
      <w:pPr>
        <w:spacing w:after="0" w:line="137" w:lineRule="exact"/>
        <w:rPr>
          <w:sz w:val="20"/>
          <w:szCs w:val="20"/>
          <w:color w:val="auto"/>
        </w:rPr>
      </w:pPr>
    </w:p>
    <w:p>
      <w:pPr>
        <w:jc w:val="center"/>
        <w:ind w:right="-199"/>
        <w:spacing w:after="0" w:line="127" w:lineRule="exact"/>
        <w:rPr>
          <w:sz w:val="20"/>
          <w:szCs w:val="20"/>
          <w:color w:val="auto"/>
        </w:rPr>
      </w:pPr>
      <w:r>
        <w:rPr>
          <w:rFonts w:ascii="Arial" w:cs="Arial" w:eastAsia="Arial" w:hAnsi="Arial"/>
          <w:sz w:val="11"/>
          <w:szCs w:val="11"/>
          <w:i w:val="1"/>
          <w:iCs w:val="1"/>
          <w:color w:val="auto"/>
        </w:rPr>
        <w:t>$1.3 billion in fourth-quarter and $4.2 billion in full-year global product net sales, representing 90% year</w:t>
      </w:r>
      <w:r>
        <w:rPr>
          <w:rFonts w:ascii="MS PGothic" w:cs="MS PGothic" w:eastAsia="MS PGothic" w:hAnsi="MS PGothic"/>
          <w:sz w:val="11"/>
          <w:szCs w:val="11"/>
          <w:i w:val="1"/>
          <w:iCs w:val="1"/>
          <w:color w:val="auto"/>
        </w:rPr>
        <w:t>‑</w:t>
      </w:r>
      <w:r>
        <w:rPr>
          <w:rFonts w:ascii="Arial" w:cs="Arial" w:eastAsia="Arial" w:hAnsi="Arial"/>
          <w:sz w:val="11"/>
          <w:szCs w:val="11"/>
          <w:i w:val="1"/>
          <w:iCs w:val="1"/>
          <w:color w:val="auto"/>
        </w:rPr>
        <w:t>over</w:t>
      </w:r>
      <w:r>
        <w:rPr>
          <w:rFonts w:ascii="MS PGothic" w:cs="MS PGothic" w:eastAsia="MS PGothic" w:hAnsi="MS PGothic"/>
          <w:sz w:val="11"/>
          <w:szCs w:val="11"/>
          <w:i w:val="1"/>
          <w:iCs w:val="1"/>
          <w:color w:val="auto"/>
        </w:rPr>
        <w:t>‑</w:t>
      </w:r>
      <w:r>
        <w:rPr>
          <w:rFonts w:ascii="Arial" w:cs="Arial" w:eastAsia="Arial" w:hAnsi="Arial"/>
          <w:sz w:val="11"/>
          <w:szCs w:val="11"/>
          <w:i w:val="1"/>
          <w:iCs w:val="1"/>
          <w:color w:val="auto"/>
        </w:rPr>
        <w:t>year growth</w:t>
      </w: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Delivered $1.1 billion in operating income in 2025, marking first year of operating profitability</w:t>
      </w:r>
    </w:p>
    <w:p>
      <w:pPr>
        <w:spacing w:after="0" w:line="146" w:lineRule="exact"/>
        <w:rPr>
          <w:sz w:val="20"/>
          <w:szCs w:val="20"/>
          <w:color w:val="auto"/>
        </w:rPr>
      </w:pPr>
    </w:p>
    <w:p>
      <w:pPr>
        <w:jc w:val="center"/>
        <w:ind w:right="-199"/>
        <w:spacing w:after="0" w:line="127" w:lineRule="exact"/>
        <w:rPr>
          <w:sz w:val="20"/>
          <w:szCs w:val="20"/>
          <w:color w:val="auto"/>
        </w:rPr>
      </w:pPr>
      <w:r>
        <w:rPr>
          <w:rFonts w:ascii="Arial" w:cs="Arial" w:eastAsia="Arial" w:hAnsi="Arial"/>
          <w:sz w:val="11"/>
          <w:szCs w:val="11"/>
          <w:i w:val="1"/>
          <w:iCs w:val="1"/>
          <w:color w:val="auto"/>
        </w:rPr>
        <w:t>VYVGART MG label expansion supported by positive ADAPT SERON and OCULUS results; PDUFA target action date of May 10, 2026 for anti</w:t>
      </w:r>
      <w:r>
        <w:rPr>
          <w:rFonts w:ascii="MS PGothic" w:cs="MS PGothic" w:eastAsia="MS PGothic" w:hAnsi="MS PGothic"/>
          <w:sz w:val="11"/>
          <w:szCs w:val="11"/>
          <w:i w:val="1"/>
          <w:iCs w:val="1"/>
          <w:color w:val="auto"/>
        </w:rPr>
        <w:t>‑</w:t>
      </w:r>
      <w:r>
        <w:rPr>
          <w:rFonts w:ascii="Arial" w:cs="Arial" w:eastAsia="Arial" w:hAnsi="Arial"/>
          <w:sz w:val="11"/>
          <w:szCs w:val="11"/>
          <w:i w:val="1"/>
          <w:iCs w:val="1"/>
          <w:color w:val="auto"/>
        </w:rPr>
        <w:t>AChR antibody</w:t>
      </w:r>
      <w:r>
        <w:rPr>
          <w:rFonts w:ascii="MS PGothic" w:cs="MS PGothic" w:eastAsia="MS PGothic" w:hAnsi="MS PGothic"/>
          <w:sz w:val="11"/>
          <w:szCs w:val="11"/>
          <w:i w:val="1"/>
          <w:iCs w:val="1"/>
          <w:color w:val="auto"/>
        </w:rPr>
        <w:t>‑</w:t>
      </w:r>
      <w:r>
        <w:rPr>
          <w:rFonts w:ascii="Arial" w:cs="Arial" w:eastAsia="Arial" w:hAnsi="Arial"/>
          <w:sz w:val="11"/>
          <w:szCs w:val="11"/>
          <w:i w:val="1"/>
          <w:iCs w:val="1"/>
          <w:color w:val="auto"/>
        </w:rPr>
        <w:t>negative (“seronegative”) gMG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Management to host conference call today at 2:30 PM CET (8:30 AM ET)</w:t>
      </w: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February 26, 2026 7:00 AM CET</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Amsterdam, the Netherlands </w:t>
      </w:r>
      <w:r>
        <w:rPr>
          <w:rFonts w:ascii="Arial" w:cs="Arial" w:eastAsia="Arial" w:hAnsi="Arial"/>
          <w:sz w:val="11"/>
          <w:szCs w:val="11"/>
          <w:color w:val="auto"/>
        </w:rPr>
        <w:t>– argenx (Euronext &amp; Nasdaq: ARGX), a global immunology company committed to improving the lives of people suffering from severe autoimmune diseases, today reported financial results for the full year</w:t>
      </w:r>
      <w:r>
        <w:rPr>
          <w:rFonts w:ascii="Arial" w:cs="Arial" w:eastAsia="Arial" w:hAnsi="Arial"/>
          <w:sz w:val="11"/>
          <w:szCs w:val="11"/>
          <w:b w:val="1"/>
          <w:bCs w:val="1"/>
          <w:color w:val="auto"/>
        </w:rPr>
        <w:t xml:space="preserve"> </w:t>
      </w:r>
      <w:r>
        <w:rPr>
          <w:rFonts w:ascii="Arial" w:cs="Arial" w:eastAsia="Arial" w:hAnsi="Arial"/>
          <w:sz w:val="11"/>
          <w:szCs w:val="11"/>
          <w:color w:val="auto"/>
        </w:rPr>
        <w:t>2025 and provided a fourth quarter business update.</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In a separate press release issued today, argenx announced positive results from the Phase 3 ADAPT OCULUS study evaluating VYVGART SC pre-filled syringe (PFS) for the treatment of adult patients living with ocular myasthenia gravis (oMG). The primary endpoint was met (p=0.012), demonstrating statistically significant improvement from baseline in Myasthenia Impairment Index (MGII) Patient Reported Outcome (PRO) ocular scores at Week 4 in treated patients compared to placebo. No new safety concerns were identified.</w:t>
      </w:r>
    </w:p>
    <w:p>
      <w:pPr>
        <w:spacing w:after="0" w:line="140" w:lineRule="exact"/>
        <w:rPr>
          <w:sz w:val="20"/>
          <w:szCs w:val="20"/>
          <w:color w:val="auto"/>
        </w:rPr>
      </w:pPr>
    </w:p>
    <w:p>
      <w:pPr>
        <w:jc w:val="both"/>
        <w:spacing w:after="0" w:line="150" w:lineRule="exact"/>
        <w:rPr>
          <w:sz w:val="20"/>
          <w:szCs w:val="20"/>
          <w:color w:val="auto"/>
        </w:rPr>
      </w:pPr>
      <w:r>
        <w:rPr>
          <w:rFonts w:ascii="Arial" w:cs="Arial" w:eastAsia="Arial" w:hAnsi="Arial"/>
          <w:sz w:val="11"/>
          <w:szCs w:val="11"/>
          <w:color w:val="auto"/>
        </w:rPr>
        <w:t>“argenx delivered another standout year of execution in 2025,” said Tim Van Hauwermeiren, Chief Executive Officer of argenx. “We reached 19,000 patients globally with VYVGART, expanded our impact across gMG and CIDP through the successful launch of the pre</w:t>
      </w:r>
      <w:r>
        <w:rPr>
          <w:rFonts w:ascii="MS PGothic" w:cs="MS PGothic" w:eastAsia="MS PGothic" w:hAnsi="MS PGothic"/>
          <w:sz w:val="11"/>
          <w:szCs w:val="11"/>
          <w:color w:val="auto"/>
        </w:rPr>
        <w:t>‑</w:t>
      </w:r>
      <w:r>
        <w:rPr>
          <w:rFonts w:ascii="Arial" w:cs="Arial" w:eastAsia="Arial" w:hAnsi="Arial"/>
          <w:sz w:val="11"/>
          <w:szCs w:val="11"/>
          <w:color w:val="auto"/>
        </w:rPr>
        <w:t>filled syringe, and made substantial progress across our development programs, advancing the pipeline towards key milestones.”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“2026 is another year of expansion for argenx,” continued Mr. Van Hauwermeiren. “Positive data in ocular MG and the priority review of our seronegative gMG filing bring us closer to reaching even more MG patients with the broadest possible label, reinforcing our leadership in shaping the MG market. Momentum across our FcRn portfolio, including expansion into rheumatology, together with continued progress across our broader pipeline with empasiprubart, adimanebart and new first-in-class candidates from our Immunology Innovation Program, supports our next horizon of growth toward Vision 2030 and beyond.”</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Strategic Priorities to Advance Vision 2030</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argenx continues to advance its ‘Vision 2030’ anchored in the ambition to treat 50,000 patients globally with its medicines, secure 10 labeled indications across approved medicines, and progress five pipeline candidates into Phase 3 development by 2030.</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Impact more patients globally with VYVGART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VYVGART</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(IV: efgartigimod alfa-fcab and SC: efgartigimod alfa and hyaluronidase-qvfc) is a first-and-only IgG Fc-antibody fragment that targets the neonatal Fc receptor (FcRn). It is approved in three indications, including generalized myasthenia gravis (gMG) and chronic inflammatory demyelinating polyneuropathy (CIDP) globally, and primary immune thrombocytopenia (ITP) in Japan. argenx is driving broad adoption as the leading precision biologic in MG and CIDP while advancing multiple label expansions.</w:t>
      </w:r>
    </w:p>
    <w:p>
      <w:pPr>
        <w:spacing w:after="0" w:line="158"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Generated $1.3 billion in global product net sales in the fourth quarter and $4.2 billion for the full year 2025, representing an increase of 90% or approximately $2 billion in year-over-year growth</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Prescription Drug User Fee Act (PDUFA) target action date for anti-acetylcholine receptor antibody negative (AChR-Ab-) gMG (MuSK+, LRP4+ and triple seronegative) is May 10, 2026</w:t>
      </w:r>
    </w:p>
    <w:p>
      <w:pPr>
        <w:spacing w:after="0" w:line="15"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Positive topline results from ADAPT OCULUS support planned sBLA submission to expand VYVGART label into oMG</w:t>
      </w:r>
    </w:p>
    <w:p>
      <w:pPr>
        <w:spacing w:after="0" w:line="2"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Topline results expected for primary ITP (ADVANCE-NEXT) in fourth quarter of 2026</w:t>
      </w:r>
    </w:p>
    <w:p>
      <w:pPr>
        <w:spacing w:after="0" w:line="7"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Registrational studies are ongoing in two rheumatology indications</w:t>
      </w:r>
    </w:p>
    <w:p>
      <w:pPr>
        <w:sectPr>
          <w:pgSz w:w="11900" w:h="16838" w:orient="portrait"/>
          <w:cols w:equalWidth="0" w:num="1">
            <w:col w:w="11300"/>
          </w:cols>
          <w:pgMar w:left="300" w:top="1220" w:right="299" w:bottom="1440" w:gutter="0" w:footer="0" w:header="0"/>
        </w:sectPr>
      </w:pPr>
    </w:p>
    <w:bookmarkStart w:id="4" w:name="page5"/>
    <w:bookmarkEnd w:id="4"/>
    <w:p>
      <w:pPr>
        <w:ind w:left="840" w:hanging="200"/>
        <w:spacing w:after="0"/>
        <w:tabs>
          <w:tab w:leader="none" w:pos="840" w:val="left"/>
        </w:tabs>
        <w:numPr>
          <w:ilvl w:val="1"/>
          <w:numId w:val="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Topline results from ALKIVIA study evaluating autoimmune inflammatory myopathies (AIM or myositis) expected in third quarter of 2026</w:t>
      </w:r>
    </w:p>
    <w:p>
      <w:pPr>
        <w:spacing w:after="0" w:line="17" w:lineRule="exact"/>
        <w:rPr>
          <w:rFonts w:ascii="Arial" w:cs="Arial" w:eastAsia="Arial" w:hAnsi="Arial"/>
          <w:sz w:val="11"/>
          <w:szCs w:val="11"/>
          <w:color w:val="auto"/>
        </w:rPr>
      </w:pPr>
    </w:p>
    <w:p>
      <w:pPr>
        <w:ind w:left="840" w:hanging="200"/>
        <w:spacing w:after="0"/>
        <w:tabs>
          <w:tab w:leader="none" w:pos="840" w:val="left"/>
        </w:tabs>
        <w:numPr>
          <w:ilvl w:val="1"/>
          <w:numId w:val="2"/>
        </w:numPr>
        <w:rPr>
          <w:rFonts w:ascii="Arial" w:cs="Arial" w:eastAsia="Arial" w:hAnsi="Arial"/>
          <w:sz w:val="11"/>
          <w:szCs w:val="11"/>
          <w:color w:val="auto"/>
        </w:rPr>
      </w:pPr>
      <w:r>
        <w:rPr>
          <w:rFonts w:ascii="Arial" w:cs="Arial" w:eastAsia="Arial" w:hAnsi="Arial"/>
          <w:sz w:val="11"/>
          <w:szCs w:val="11"/>
          <w:color w:val="auto"/>
        </w:rPr>
        <w:t>Topline results from UNITY study (Sjogren’s disease) expected in second half of 2027</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Registrational study in Graves’ disease (GD) expected to initiate in 2026, expanding development into thyroid-driven autoimmunity</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Shape the long-term future of FcRn medicines</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argenx is focused on shaping the long-term future of FcRn medicines by advancing new pipeline candidates, innovative delivery modalities and combination approaches to set new standards for patients.</w:t>
      </w:r>
    </w:p>
    <w:p>
      <w:pPr>
        <w:spacing w:after="0" w:line="18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VYVGART SC autoinjector expected to launch in 2027</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ADAPT-Forward combination study ongoing to evaluate empasiprubart as an add on therapy to efgartigimod</w:t>
      </w:r>
    </w:p>
    <w:p>
      <w:pPr>
        <w:spacing w:after="0" w:line="15" w:lineRule="exact"/>
        <w:rPr>
          <w:rFonts w:ascii="Arial" w:cs="Arial" w:eastAsia="Arial" w:hAnsi="Arial"/>
          <w:sz w:val="11"/>
          <w:szCs w:val="11"/>
          <w:color w:val="auto"/>
        </w:rPr>
      </w:pPr>
    </w:p>
    <w:p>
      <w:pPr>
        <w:ind w:left="420" w:hanging="212"/>
        <w:spacing w:after="0" w:line="127" w:lineRule="exact"/>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Progressing two next</w:t>
      </w:r>
      <w:r>
        <w:rPr>
          <w:rFonts w:ascii="MS PGothic" w:cs="MS PGothic" w:eastAsia="MS PGothic" w:hAnsi="MS PGothic"/>
          <w:sz w:val="11"/>
          <w:szCs w:val="11"/>
          <w:color w:val="auto"/>
        </w:rPr>
        <w:t>‑</w:t>
      </w:r>
      <w:r>
        <w:rPr>
          <w:rFonts w:ascii="Arial" w:cs="Arial" w:eastAsia="Arial" w:hAnsi="Arial"/>
          <w:sz w:val="11"/>
          <w:szCs w:val="11"/>
          <w:color w:val="auto"/>
        </w:rPr>
        <w:t>generation FcRn candidates in 2026: ARGX</w:t>
      </w:r>
      <w:r>
        <w:rPr>
          <w:rFonts w:ascii="MS PGothic" w:cs="MS PGothic" w:eastAsia="MS PGothic" w:hAnsi="MS PGothic"/>
          <w:sz w:val="11"/>
          <w:szCs w:val="11"/>
          <w:color w:val="auto"/>
        </w:rPr>
        <w:t>‑</w:t>
      </w:r>
      <w:r>
        <w:rPr>
          <w:rFonts w:ascii="Arial" w:cs="Arial" w:eastAsia="Arial" w:hAnsi="Arial"/>
          <w:sz w:val="11"/>
          <w:szCs w:val="11"/>
          <w:color w:val="auto"/>
        </w:rPr>
        <w:t>213 is expected to enter patient studies and ARGX</w:t>
      </w:r>
      <w:r>
        <w:rPr>
          <w:rFonts w:ascii="MS PGothic" w:cs="MS PGothic" w:eastAsia="MS PGothic" w:hAnsi="MS PGothic"/>
          <w:sz w:val="11"/>
          <w:szCs w:val="11"/>
          <w:color w:val="auto"/>
        </w:rPr>
        <w:t>‑</w:t>
      </w:r>
      <w:r>
        <w:rPr>
          <w:rFonts w:ascii="Arial" w:cs="Arial" w:eastAsia="Arial" w:hAnsi="Arial"/>
          <w:sz w:val="11"/>
          <w:szCs w:val="11"/>
          <w:color w:val="auto"/>
        </w:rPr>
        <w:t>124 expected to complete Phase 1</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Deliver next wave of immunology innovation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By the end of 2026, the argenx pipeline will include four Phase 3 molecules and a total of 10 molecules in clinical development. Empasiprubart (anti-C2) is in Phase 3 for MMN and CIDP and adimanebart (MuSK agonist) will enter Phase 3 for congenital myasthenic syndromes (CMS). ARGX-121 (anti-IgA) and ARGX-109 (anti-IL-6) are both entering patient studies this year. Three additional molecules from the IIP are expected to enter Phase 1 in 2026, supporting argenx’s goal of launching, on average, one new pipeline candidate each year.</w:t>
      </w: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Empasiprubart</w:t>
      </w:r>
    </w:p>
    <w:p>
      <w:pPr>
        <w:spacing w:after="0" w:line="180"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Topline results from EMPASSION study (MMN) expected in fourth quarter of 2026</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Topline results from EMVIGORATE and EMNERGIZE studies (CIDP) expected in second half of 2027</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Decision for Phase 2 VARVARA study (DGF) expected mid-year 2026 to complete 52-week efficacy analysis</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Adimanebart</w:t>
      </w:r>
    </w:p>
    <w:p>
      <w:pPr>
        <w:spacing w:after="0" w:line="180"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CMS registrational study on track to start in third quarter of 2026</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Topline Phase 2a data from amyotrophic lateral sclerosis (ALS) study does not support continued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Earlier-stage Programs</w:t>
      </w:r>
    </w:p>
    <w:p>
      <w:pPr>
        <w:spacing w:after="0" w:line="180"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1"/>
          <w:szCs w:val="11"/>
          <w:color w:val="auto"/>
        </w:rPr>
      </w:pPr>
      <w:r>
        <w:rPr>
          <w:rFonts w:ascii="Arial" w:cs="Arial" w:eastAsia="Arial" w:hAnsi="Arial"/>
          <w:sz w:val="11"/>
          <w:szCs w:val="11"/>
          <w:color w:val="auto"/>
        </w:rPr>
        <w:t>Phase 2 study of ARGX-121 in IgA nephropathy (IgAN) expected to start in 2026</w:t>
      </w:r>
    </w:p>
    <w:p>
      <w:pPr>
        <w:spacing w:after="0" w:line="15" w:lineRule="exact"/>
        <w:rPr>
          <w:rFonts w:ascii="Arial" w:cs="Arial" w:eastAsia="Arial" w:hAnsi="Arial"/>
          <w:sz w:val="11"/>
          <w:szCs w:val="11"/>
          <w:color w:val="auto"/>
        </w:rPr>
      </w:pPr>
    </w:p>
    <w:p>
      <w:pPr>
        <w:ind w:left="420" w:hanging="212"/>
        <w:spacing w:after="0" w:line="144" w:lineRule="exact"/>
        <w:tabs>
          <w:tab w:leader="none" w:pos="413" w:val="left"/>
        </w:tabs>
        <w:numPr>
          <w:ilvl w:val="0"/>
          <w:numId w:val="6"/>
        </w:numPr>
        <w:rPr>
          <w:rFonts w:ascii="Arial" w:cs="Arial" w:eastAsia="Arial" w:hAnsi="Arial"/>
          <w:sz w:val="11"/>
          <w:szCs w:val="11"/>
          <w:color w:val="auto"/>
        </w:rPr>
      </w:pPr>
      <w:r>
        <w:rPr>
          <w:rFonts w:ascii="Arial" w:cs="Arial" w:eastAsia="Arial" w:hAnsi="Arial"/>
          <w:sz w:val="11"/>
          <w:szCs w:val="11"/>
          <w:color w:val="auto"/>
        </w:rPr>
        <w:t>Three new first-in-class molecules are on track to enter Phase 1 in 2026, including ARGX</w:t>
      </w:r>
      <w:r>
        <w:rPr>
          <w:rFonts w:ascii="MS PGothic" w:cs="MS PGothic" w:eastAsia="MS PGothic" w:hAnsi="MS PGothic"/>
          <w:sz w:val="11"/>
          <w:szCs w:val="11"/>
          <w:color w:val="auto"/>
        </w:rPr>
        <w:t>‑</w:t>
      </w:r>
      <w:r>
        <w:rPr>
          <w:rFonts w:ascii="Arial" w:cs="Arial" w:eastAsia="Arial" w:hAnsi="Arial"/>
          <w:sz w:val="11"/>
          <w:szCs w:val="11"/>
          <w:color w:val="auto"/>
        </w:rPr>
        <w:t>118 (Galectin</w:t>
      </w:r>
      <w:r>
        <w:rPr>
          <w:rFonts w:ascii="MS PGothic" w:cs="MS PGothic" w:eastAsia="MS PGothic" w:hAnsi="MS PGothic"/>
          <w:sz w:val="11"/>
          <w:szCs w:val="11"/>
          <w:color w:val="auto"/>
        </w:rPr>
        <w:t>‑</w:t>
      </w:r>
      <w:r>
        <w:rPr>
          <w:rFonts w:ascii="Arial" w:cs="Arial" w:eastAsia="Arial" w:hAnsi="Arial"/>
          <w:sz w:val="11"/>
          <w:szCs w:val="11"/>
          <w:color w:val="auto"/>
        </w:rPr>
        <w:t>10 inhibitor), ARGX</w:t>
      </w:r>
      <w:r>
        <w:rPr>
          <w:rFonts w:ascii="MS PGothic" w:cs="MS PGothic" w:eastAsia="MS PGothic" w:hAnsi="MS PGothic"/>
          <w:sz w:val="11"/>
          <w:szCs w:val="11"/>
          <w:color w:val="auto"/>
        </w:rPr>
        <w:t>‑</w:t>
      </w:r>
      <w:r>
        <w:rPr>
          <w:rFonts w:ascii="Arial" w:cs="Arial" w:eastAsia="Arial" w:hAnsi="Arial"/>
          <w:sz w:val="11"/>
          <w:szCs w:val="11"/>
          <w:color w:val="auto"/>
        </w:rPr>
        <w:t>125 (bispecific antibody), and TSP</w:t>
      </w:r>
      <w:r>
        <w:rPr>
          <w:rFonts w:ascii="MS PGothic" w:cs="MS PGothic" w:eastAsia="MS PGothic" w:hAnsi="MS PGothic"/>
          <w:sz w:val="11"/>
          <w:szCs w:val="11"/>
          <w:color w:val="auto"/>
        </w:rPr>
        <w:t>‑</w:t>
      </w:r>
      <w:r>
        <w:rPr>
          <w:rFonts w:ascii="Arial" w:cs="Arial" w:eastAsia="Arial" w:hAnsi="Arial"/>
          <w:sz w:val="11"/>
          <w:szCs w:val="11"/>
          <w:color w:val="auto"/>
        </w:rPr>
        <w:t>101, the Fn14</w:t>
      </w:r>
      <w:r>
        <w:rPr>
          <w:rFonts w:ascii="MS PGothic" w:cs="MS PGothic" w:eastAsia="MS PGothic" w:hAnsi="MS PGothic"/>
          <w:sz w:val="11"/>
          <w:szCs w:val="11"/>
          <w:color w:val="auto"/>
        </w:rPr>
        <w:t>‑</w:t>
      </w:r>
      <w:r>
        <w:rPr>
          <w:rFonts w:ascii="Arial" w:cs="Arial" w:eastAsia="Arial" w:hAnsi="Arial"/>
          <w:sz w:val="11"/>
          <w:szCs w:val="11"/>
          <w:color w:val="auto"/>
        </w:rPr>
        <w:t>targeting program from the Tensegrity research collaboration</w:t>
      </w:r>
    </w:p>
    <w:p>
      <w:pPr>
        <w:sectPr>
          <w:pgSz w:w="11900" w:h="16838" w:orient="portrait"/>
          <w:cols w:equalWidth="0" w:num="1">
            <w:col w:w="11300"/>
          </w:cols>
          <w:pgMar w:left="300" w:top="1220" w:right="299" w:bottom="1440" w:gutter="0" w:footer="0" w:header="0"/>
        </w:sectPr>
      </w:pPr>
    </w:p>
    <w:bookmarkStart w:id="5" w:name="page6"/>
    <w:bookmarkEnd w:id="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1"/>
          <w:szCs w:val="11"/>
          <w:b w:val="1"/>
          <w:bCs w:val="1"/>
          <w:color w:val="auto"/>
        </w:rPr>
        <w:t>FOURTH QUARTER AND FULL YEAR 2025 FINANCIAL RESULTS</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1"/>
          <w:szCs w:val="11"/>
          <w:b w:val="1"/>
          <w:bCs w:val="1"/>
          <w:color w:val="auto"/>
        </w:rPr>
        <w:t>argenx 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 CONDENSED CONSOLIDATED STATEMENTS OF PROFIT OR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3"/>
          </w:tcPr>
          <w:p>
            <w:pPr>
              <w:jc w:val="right"/>
              <w:ind w:right="272"/>
              <w:spacing w:after="0"/>
              <w:rPr>
                <w:sz w:val="20"/>
                <w:szCs w:val="20"/>
                <w:color w:val="auto"/>
              </w:rPr>
            </w:pPr>
            <w:r>
              <w:rPr>
                <w:rFonts w:ascii="Arial" w:cs="Arial" w:eastAsia="Arial" w:hAnsi="Arial"/>
                <w:sz w:val="10"/>
                <w:szCs w:val="10"/>
                <w:b w:val="1"/>
                <w:bCs w:val="1"/>
                <w:color w:val="auto"/>
              </w:rPr>
              <w:t>Three Months Ended</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3"/>
          </w:tcPr>
          <w:p>
            <w:pPr>
              <w:jc w:val="right"/>
              <w:ind w:right="252"/>
              <w:spacing w:after="0"/>
              <w:rPr>
                <w:sz w:val="20"/>
                <w:szCs w:val="20"/>
                <w:color w:val="auto"/>
              </w:rPr>
            </w:pPr>
            <w:r>
              <w:rPr>
                <w:rFonts w:ascii="Arial" w:cs="Arial" w:eastAsia="Arial" w:hAnsi="Arial"/>
                <w:sz w:val="10"/>
                <w:szCs w:val="10"/>
                <w:b w:val="1"/>
                <w:bCs w:val="1"/>
                <w:color w:val="auto"/>
              </w:rPr>
              <w:t>Twelve Months Ended</w:t>
            </w:r>
          </w:p>
        </w:tc>
        <w:tc>
          <w:tcPr>
            <w:tcW w:w="840" w:type="dxa"/>
            <w:vAlign w:val="bottom"/>
          </w:tcPr>
          <w:p>
            <w:pPr>
              <w:spacing w:after="0"/>
              <w:rPr>
                <w:sz w:val="11"/>
                <w:szCs w:val="11"/>
                <w:color w:val="auto"/>
              </w:rPr>
            </w:pPr>
          </w:p>
        </w:tc>
      </w:tr>
      <w:tr>
        <w:trPr>
          <w:trHeight w:val="135"/>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1"/>
                <w:szCs w:val="11"/>
                <w:color w:val="auto"/>
              </w:rPr>
            </w:pPr>
          </w:p>
        </w:tc>
      </w:tr>
      <w:tr>
        <w:trPr>
          <w:trHeight w:val="125"/>
        </w:trPr>
        <w:tc>
          <w:tcPr>
            <w:tcW w:w="4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of $ except for per share data)</w:t>
            </w:r>
          </w:p>
        </w:tc>
        <w:tc>
          <w:tcPr>
            <w:tcW w:w="3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r>
      <w:tr>
        <w:trPr>
          <w:trHeight w:val="125"/>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Product net sales</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1,285,711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736,968</w:t>
            </w: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4,151,316</w:t>
            </w: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2,185,883</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Other operating income*</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36,444</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24,252</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96,734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66,156</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income</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1,322,155</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761,220</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4,248,050</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2,252,039</w:t>
            </w:r>
          </w:p>
        </w:tc>
      </w:tr>
      <w:tr>
        <w:trPr>
          <w:trHeight w:val="180"/>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5"/>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Cost of sales</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(149,687)</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(72,656)</w:t>
            </w: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(450,665)</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(227,289)</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Research and development expenses</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(371,714)</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(297,228)</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(1,364,132)</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(983,423)</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Selling, general and administrative expenses</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(429,616)</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(285,945)</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(1,367,057)</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(1,055,337)</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Loss from investment in a joint venture</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(3,527)</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(2,350)</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(12,390)</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(7,644)</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expenses</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(954,544)</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(658,179)</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(3,194,244)</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(2,273,693)</w:t>
            </w:r>
          </w:p>
        </w:tc>
      </w:tr>
      <w:tr>
        <w:trPr>
          <w:trHeight w:val="180"/>
        </w:trPr>
        <w:tc>
          <w:tcPr>
            <w:tcW w:w="40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23"/>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Operating profit/(loss)</w:t>
            </w: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367,611</w:t>
            </w:r>
          </w:p>
        </w:tc>
        <w:tc>
          <w:tcPr>
            <w:tcW w:w="36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103,041</w:t>
            </w:r>
          </w:p>
        </w:tc>
        <w:tc>
          <w:tcPr>
            <w:tcW w:w="3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1,053,806</w:t>
            </w:r>
          </w:p>
        </w:tc>
        <w:tc>
          <w:tcPr>
            <w:tcW w:w="34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(21,654)</w:t>
            </w:r>
          </w:p>
        </w:tc>
      </w:tr>
      <w:tr>
        <w:trPr>
          <w:trHeight w:val="161"/>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5"/>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Financial income</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44,874</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39,095</w:t>
            </w: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163,091</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157,509</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Financial expense</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(828)</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(704)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(4,082)</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(2,464)</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Exchange (losses)/gains</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(8,363)</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(54,923)</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65,792</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(48,211)</w:t>
            </w:r>
          </w:p>
        </w:tc>
      </w:tr>
      <w:tr>
        <w:trPr>
          <w:trHeight w:val="180"/>
        </w:trPr>
        <w:tc>
          <w:tcPr>
            <w:tcW w:w="40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24"/>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Profit for the period before taxes</w:t>
            </w: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403,294</w:t>
            </w:r>
          </w:p>
        </w:tc>
        <w:tc>
          <w:tcPr>
            <w:tcW w:w="36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86,509</w:t>
            </w:r>
          </w:p>
        </w:tc>
        <w:tc>
          <w:tcPr>
            <w:tcW w:w="3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1,278,607</w:t>
            </w:r>
          </w:p>
        </w:tc>
        <w:tc>
          <w:tcPr>
            <w:tcW w:w="34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85,180</w:t>
            </w:r>
          </w:p>
        </w:tc>
      </w:tr>
      <w:tr>
        <w:trPr>
          <w:trHeight w:val="121"/>
        </w:trPr>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Income tax benefit</w:t>
            </w: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129,656</w:t>
            </w:r>
          </w:p>
        </w:tc>
        <w:tc>
          <w:tcPr>
            <w:tcW w:w="3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687,652</w:t>
            </w:r>
          </w:p>
        </w:tc>
        <w:tc>
          <w:tcPr>
            <w:tcW w:w="3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13,428</w:t>
            </w:r>
          </w:p>
        </w:tc>
        <w:tc>
          <w:tcPr>
            <w:tcW w:w="3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747,860</w:t>
            </w:r>
          </w:p>
        </w:tc>
      </w:tr>
      <w:tr>
        <w:trPr>
          <w:trHeight w:val="127"/>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Profit for the period</w:t>
            </w: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532,950</w:t>
            </w:r>
          </w:p>
        </w:tc>
        <w:tc>
          <w:tcPr>
            <w:tcW w:w="36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774,161</w:t>
            </w:r>
          </w:p>
        </w:tc>
        <w:tc>
          <w:tcPr>
            <w:tcW w:w="36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1,292,035</w:t>
            </w:r>
          </w:p>
        </w:tc>
        <w:tc>
          <w:tcPr>
            <w:tcW w:w="3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833,040</w:t>
            </w:r>
          </w:p>
        </w:tc>
      </w:tr>
      <w:tr>
        <w:trPr>
          <w:trHeight w:val="114"/>
        </w:trPr>
        <w:tc>
          <w:tcPr>
            <w:tcW w:w="438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Profit for the period attributable to:</w:t>
            </w: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36"/>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Owners of the parent</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532,950</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774,161</w:t>
            </w: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1,292,035</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833,040</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Weighted average number of shares outstanding used for basic profit per share</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61,732,177</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60,517,968</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61,294,149</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59,855,585</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Basic profit per share (in $)</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8.63</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12.79</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21.08</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13.92</w:t>
            </w:r>
          </w:p>
        </w:tc>
      </w:tr>
      <w:tr>
        <w:trPr>
          <w:trHeight w:val="132"/>
        </w:trPr>
        <w:tc>
          <w:tcPr>
            <w:tcW w:w="4380" w:type="dxa"/>
            <w:vAlign w:val="bottom"/>
            <w:gridSpan w:val="2"/>
          </w:tcPr>
          <w:p>
            <w:pPr>
              <w:spacing w:after="0"/>
              <w:rPr>
                <w:sz w:val="20"/>
                <w:szCs w:val="20"/>
                <w:color w:val="auto"/>
              </w:rPr>
            </w:pPr>
            <w:r>
              <w:rPr>
                <w:rFonts w:ascii="Arial" w:cs="Arial" w:eastAsia="Arial" w:hAnsi="Arial"/>
                <w:sz w:val="10"/>
                <w:szCs w:val="10"/>
                <w:color w:val="auto"/>
              </w:rPr>
              <w:t>Weighted average number of shares outstanding used for diluted profit per share</w:t>
            </w: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66,428,415</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65,661,428</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66,029,215</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65,177,815</w:t>
            </w:r>
          </w:p>
        </w:tc>
      </w:tr>
      <w:tr>
        <w:trPr>
          <w:trHeight w:val="138"/>
        </w:trPr>
        <w:tc>
          <w:tcPr>
            <w:tcW w:w="4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Diluted profit per share (in $)</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11.79</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19.57</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*Comparative figures have been presented to be consistent with the one adopted in the current period with respect to the combination of collaboration revenue and other operating income.</w:t>
      </w:r>
    </w:p>
    <w:p>
      <w:pPr>
        <w:sectPr>
          <w:pgSz w:w="11900" w:h="16838" w:orient="portrait"/>
          <w:cols w:equalWidth="0" w:num="1">
            <w:col w:w="11300"/>
          </w:cols>
          <w:pgMar w:left="300" w:top="1440"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DETAILS OF THE FINANCIAL RESULTS</w:t>
      </w:r>
    </w:p>
    <w:p>
      <w:pPr>
        <w:spacing w:after="0" w:line="108" w:lineRule="exact"/>
        <w:rPr>
          <w:sz w:val="20"/>
          <w:szCs w:val="20"/>
          <w:color w:val="auto"/>
        </w:rPr>
      </w:pPr>
    </w:p>
    <w:p>
      <w:pPr>
        <w:ind w:right="20"/>
        <w:spacing w:after="0" w:line="302" w:lineRule="auto"/>
        <w:rPr>
          <w:sz w:val="20"/>
          <w:szCs w:val="20"/>
          <w:color w:val="auto"/>
        </w:rPr>
      </w:pPr>
      <w:r>
        <w:rPr>
          <w:rFonts w:ascii="Arial" w:cs="Arial" w:eastAsia="Arial" w:hAnsi="Arial"/>
          <w:sz w:val="11"/>
          <w:szCs w:val="11"/>
          <w:b w:val="1"/>
          <w:bCs w:val="1"/>
          <w:color w:val="auto"/>
        </w:rPr>
        <w:t xml:space="preserve">Total operating income </w:t>
      </w:r>
      <w:r>
        <w:rPr>
          <w:rFonts w:ascii="Arial" w:cs="Arial" w:eastAsia="Arial" w:hAnsi="Arial"/>
          <w:sz w:val="11"/>
          <w:szCs w:val="11"/>
          <w:color w:val="auto"/>
        </w:rPr>
        <w:t>for the three and twelve months ended December 31, 2025 was $1.3 billion and $4.2 billion, respectively, compared to $0.8 billion and $2.3 billion, respectively, for the same periods in 2024, and mainly consisted</w:t>
      </w:r>
      <w:r>
        <w:rPr>
          <w:rFonts w:ascii="Arial" w:cs="Arial" w:eastAsia="Arial" w:hAnsi="Arial"/>
          <w:sz w:val="11"/>
          <w:szCs w:val="11"/>
          <w:b w:val="1"/>
          <w:bCs w:val="1"/>
          <w:color w:val="auto"/>
        </w:rPr>
        <w:t xml:space="preserve"> </w:t>
      </w:r>
      <w:r>
        <w:rPr>
          <w:rFonts w:ascii="Arial" w:cs="Arial" w:eastAsia="Arial" w:hAnsi="Arial"/>
          <w:sz w:val="11"/>
          <w:szCs w:val="11"/>
          <w:color w:val="auto"/>
        </w:rPr>
        <w:t>of:</w:t>
      </w:r>
    </w:p>
    <w:p>
      <w:pPr>
        <w:spacing w:after="0" w:line="78"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Product net sales </w:t>
      </w:r>
      <w:r>
        <w:rPr>
          <w:rFonts w:ascii="Arial" w:cs="Arial" w:eastAsia="Arial" w:hAnsi="Arial"/>
          <w:sz w:val="11"/>
          <w:szCs w:val="11"/>
          <w:color w:val="auto"/>
        </w:rPr>
        <w:t>of VYVGART for the three and twelve months ended December 31, 2025 were $1.3 billion and $4.2 billion, respectively, compared to $0.7 billion and $2.2 billion, respectively, for the same periods in 2024.</w:t>
      </w:r>
    </w:p>
    <w:p>
      <w:pPr>
        <w:spacing w:after="0" w:line="125" w:lineRule="exact"/>
        <w:rPr>
          <w:rFonts w:ascii="Arial" w:cs="Arial" w:eastAsia="Arial" w:hAnsi="Arial"/>
          <w:sz w:val="11"/>
          <w:szCs w:val="11"/>
          <w:color w:val="auto"/>
        </w:rPr>
      </w:pPr>
    </w:p>
    <w:p>
      <w:pPr>
        <w:ind w:left="420" w:hanging="212"/>
        <w:spacing w:after="0" w:line="302"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Other operating income </w:t>
      </w:r>
      <w:r>
        <w:rPr>
          <w:rFonts w:ascii="Arial" w:cs="Arial" w:eastAsia="Arial" w:hAnsi="Arial"/>
          <w:sz w:val="11"/>
          <w:szCs w:val="11"/>
          <w:color w:val="auto"/>
        </w:rPr>
        <w:t>for the three and twelve months ended December 31, 2025 was $36 million and $97 million, respectively, compared to $24 million, and $66 million, respectively, for the same periods in 2024. The other</w:t>
      </w:r>
      <w:r>
        <w:rPr>
          <w:rFonts w:ascii="Arial" w:cs="Arial" w:eastAsia="Arial" w:hAnsi="Arial"/>
          <w:sz w:val="11"/>
          <w:szCs w:val="11"/>
          <w:b w:val="1"/>
          <w:bCs w:val="1"/>
          <w:color w:val="auto"/>
        </w:rPr>
        <w:t xml:space="preserve"> </w:t>
      </w:r>
      <w:r>
        <w:rPr>
          <w:rFonts w:ascii="Arial" w:cs="Arial" w:eastAsia="Arial" w:hAnsi="Arial"/>
          <w:sz w:val="11"/>
          <w:szCs w:val="11"/>
          <w:color w:val="auto"/>
        </w:rPr>
        <w:t>operating income primarily relates to research and development tax incentives and payroll tax rebates.</w:t>
      </w:r>
    </w:p>
    <w:p>
      <w:pPr>
        <w:spacing w:after="0" w:line="78" w:lineRule="exact"/>
        <w:rPr>
          <w:sz w:val="20"/>
          <w:szCs w:val="20"/>
          <w:color w:val="auto"/>
        </w:rPr>
      </w:pPr>
    </w:p>
    <w:p>
      <w:pPr>
        <w:spacing w:after="0" w:line="302" w:lineRule="auto"/>
        <w:rPr>
          <w:sz w:val="20"/>
          <w:szCs w:val="20"/>
          <w:color w:val="auto"/>
        </w:rPr>
      </w:pPr>
      <w:r>
        <w:rPr>
          <w:rFonts w:ascii="Arial" w:cs="Arial" w:eastAsia="Arial" w:hAnsi="Arial"/>
          <w:sz w:val="11"/>
          <w:szCs w:val="11"/>
          <w:b w:val="1"/>
          <w:bCs w:val="1"/>
          <w:color w:val="auto"/>
        </w:rPr>
        <w:t xml:space="preserve">Total operating expenses </w:t>
      </w:r>
      <w:r>
        <w:rPr>
          <w:rFonts w:ascii="Arial" w:cs="Arial" w:eastAsia="Arial" w:hAnsi="Arial"/>
          <w:sz w:val="11"/>
          <w:szCs w:val="11"/>
          <w:color w:val="auto"/>
        </w:rPr>
        <w:t>for the three and twelve months ended December 31, 2025 were $1.0 billion and $3.2 billion, respectively, compared to $0.7 billion and $2.3 billion, respectively, for the same periods in 2024, and mainly</w:t>
      </w:r>
      <w:r>
        <w:rPr>
          <w:rFonts w:ascii="Arial" w:cs="Arial" w:eastAsia="Arial" w:hAnsi="Arial"/>
          <w:sz w:val="11"/>
          <w:szCs w:val="11"/>
          <w:b w:val="1"/>
          <w:bCs w:val="1"/>
          <w:color w:val="auto"/>
        </w:rPr>
        <w:t xml:space="preserve"> </w:t>
      </w:r>
      <w:r>
        <w:rPr>
          <w:rFonts w:ascii="Arial" w:cs="Arial" w:eastAsia="Arial" w:hAnsi="Arial"/>
          <w:sz w:val="11"/>
          <w:szCs w:val="11"/>
          <w:color w:val="auto"/>
        </w:rPr>
        <w:t>consisted of:</w:t>
      </w:r>
    </w:p>
    <w:p>
      <w:pPr>
        <w:spacing w:after="0" w:line="78" w:lineRule="exact"/>
        <w:rPr>
          <w:sz w:val="20"/>
          <w:szCs w:val="20"/>
          <w:color w:val="auto"/>
        </w:rPr>
      </w:pPr>
    </w:p>
    <w:p>
      <w:pPr>
        <w:ind w:left="420" w:hanging="212"/>
        <w:spacing w:after="0" w:line="302" w:lineRule="auto"/>
        <w:tabs>
          <w:tab w:leader="none" w:pos="413"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 xml:space="preserve">Cost of sales </w:t>
      </w:r>
      <w:r>
        <w:rPr>
          <w:rFonts w:ascii="Arial" w:cs="Arial" w:eastAsia="Arial" w:hAnsi="Arial"/>
          <w:sz w:val="11"/>
          <w:szCs w:val="11"/>
          <w:color w:val="auto"/>
        </w:rPr>
        <w:t>for the three and twelve months ended December 31, 2025 was $150 million and $451 million, respectively, compared to $73 million and $227 million, respectively, for the same periods in 2024. The cost of sales</w:t>
      </w:r>
      <w:r>
        <w:rPr>
          <w:rFonts w:ascii="Arial" w:cs="Arial" w:eastAsia="Arial" w:hAnsi="Arial"/>
          <w:sz w:val="11"/>
          <w:szCs w:val="11"/>
          <w:b w:val="1"/>
          <w:bCs w:val="1"/>
          <w:color w:val="auto"/>
        </w:rPr>
        <w:t xml:space="preserve"> </w:t>
      </w:r>
      <w:r>
        <w:rPr>
          <w:rFonts w:ascii="Arial" w:cs="Arial" w:eastAsia="Arial" w:hAnsi="Arial"/>
          <w:sz w:val="11"/>
          <w:szCs w:val="11"/>
          <w:color w:val="auto"/>
        </w:rPr>
        <w:t>was recognized with respect to the sale of VYVGART.</w:t>
      </w:r>
    </w:p>
    <w:p>
      <w:pPr>
        <w:spacing w:after="0" w:line="77" w:lineRule="exact"/>
        <w:rPr>
          <w:rFonts w:ascii="Arial" w:cs="Arial" w:eastAsia="Arial" w:hAnsi="Arial"/>
          <w:sz w:val="11"/>
          <w:szCs w:val="11"/>
          <w:color w:val="auto"/>
        </w:rPr>
      </w:pPr>
    </w:p>
    <w:p>
      <w:pPr>
        <w:ind w:left="420" w:hanging="212"/>
        <w:spacing w:after="0"/>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 xml:space="preserve">Research and development expenses </w:t>
      </w:r>
      <w:r>
        <w:rPr>
          <w:rFonts w:ascii="Arial" w:cs="Arial" w:eastAsia="Arial" w:hAnsi="Arial"/>
          <w:sz w:val="10"/>
          <w:szCs w:val="10"/>
          <w:color w:val="auto"/>
        </w:rPr>
        <w:t>for the three and twelve months ended December 31, 2025 were $0.4 billion and $1.4 billion, respectively, compared to $0.3 billion and $1.0 billion, respectively, for the same periods in</w:t>
      </w:r>
    </w:p>
    <w:p>
      <w:pPr>
        <w:spacing w:after="0" w:line="32"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1"/>
          <w:szCs w:val="11"/>
          <w:color w:val="auto"/>
        </w:rPr>
        <w:t>2024. The expenses mainly related to:</w:t>
      </w:r>
    </w:p>
    <w:p>
      <w:pPr>
        <w:spacing w:after="0" w:line="121" w:lineRule="exact"/>
        <w:rPr>
          <w:rFonts w:ascii="Arial" w:cs="Arial" w:eastAsia="Arial" w:hAnsi="Arial"/>
          <w:sz w:val="10"/>
          <w:szCs w:val="10"/>
          <w:color w:val="auto"/>
        </w:rPr>
      </w:pPr>
    </w:p>
    <w:p>
      <w:pPr>
        <w:ind w:left="840" w:hanging="200"/>
        <w:spacing w:after="0"/>
        <w:tabs>
          <w:tab w:leader="none" w:pos="840" w:val="left"/>
        </w:tabs>
        <w:numPr>
          <w:ilvl w:val="1"/>
          <w:numId w:val="8"/>
        </w:numPr>
        <w:rPr>
          <w:rFonts w:ascii="Arial" w:cs="Arial" w:eastAsia="Arial" w:hAnsi="Arial"/>
          <w:sz w:val="11"/>
          <w:szCs w:val="11"/>
          <w:color w:val="auto"/>
        </w:rPr>
      </w:pPr>
      <w:r>
        <w:rPr>
          <w:rFonts w:ascii="Arial" w:cs="Arial" w:eastAsia="Arial" w:hAnsi="Arial"/>
          <w:sz w:val="11"/>
          <w:szCs w:val="11"/>
          <w:color w:val="auto"/>
        </w:rPr>
        <w:t>Advancing efgartigimod across multiple severe autoimmune indications;</w:t>
      </w:r>
    </w:p>
    <w:p>
      <w:pPr>
        <w:spacing w:after="0" w:line="116" w:lineRule="exact"/>
        <w:rPr>
          <w:rFonts w:ascii="Arial" w:cs="Arial" w:eastAsia="Arial" w:hAnsi="Arial"/>
          <w:sz w:val="11"/>
          <w:szCs w:val="11"/>
          <w:color w:val="auto"/>
        </w:rPr>
      </w:pPr>
    </w:p>
    <w:p>
      <w:pPr>
        <w:ind w:left="840" w:hanging="200"/>
        <w:spacing w:after="0"/>
        <w:tabs>
          <w:tab w:leader="none" w:pos="840" w:val="left"/>
        </w:tabs>
        <w:numPr>
          <w:ilvl w:val="1"/>
          <w:numId w:val="8"/>
        </w:numPr>
        <w:rPr>
          <w:rFonts w:ascii="Arial" w:cs="Arial" w:eastAsia="Arial" w:hAnsi="Arial"/>
          <w:sz w:val="11"/>
          <w:szCs w:val="11"/>
          <w:color w:val="auto"/>
        </w:rPr>
      </w:pPr>
      <w:r>
        <w:rPr>
          <w:rFonts w:ascii="Arial" w:cs="Arial" w:eastAsia="Arial" w:hAnsi="Arial"/>
          <w:sz w:val="11"/>
          <w:szCs w:val="11"/>
          <w:color w:val="auto"/>
        </w:rPr>
        <w:t>Progressing empasiprubart into multiple indications;</w:t>
      </w:r>
    </w:p>
    <w:p>
      <w:pPr>
        <w:spacing w:after="0" w:line="125" w:lineRule="exact"/>
        <w:rPr>
          <w:rFonts w:ascii="Arial" w:cs="Arial" w:eastAsia="Arial" w:hAnsi="Arial"/>
          <w:sz w:val="11"/>
          <w:szCs w:val="11"/>
          <w:color w:val="auto"/>
        </w:rPr>
      </w:pPr>
    </w:p>
    <w:p>
      <w:pPr>
        <w:ind w:left="840" w:hanging="200"/>
        <w:spacing w:after="0"/>
        <w:tabs>
          <w:tab w:leader="none" w:pos="840" w:val="left"/>
        </w:tabs>
        <w:numPr>
          <w:ilvl w:val="1"/>
          <w:numId w:val="8"/>
        </w:numPr>
        <w:rPr>
          <w:rFonts w:ascii="Arial" w:cs="Arial" w:eastAsia="Arial" w:hAnsi="Arial"/>
          <w:sz w:val="11"/>
          <w:szCs w:val="11"/>
          <w:color w:val="auto"/>
        </w:rPr>
      </w:pPr>
      <w:r>
        <w:rPr>
          <w:rFonts w:ascii="Arial" w:cs="Arial" w:eastAsia="Arial" w:hAnsi="Arial"/>
          <w:sz w:val="11"/>
          <w:szCs w:val="11"/>
          <w:color w:val="auto"/>
        </w:rPr>
        <w:t>Executing studies for adimanebart in rare neuromuscular diseases; and</w:t>
      </w:r>
    </w:p>
    <w:p>
      <w:pPr>
        <w:spacing w:after="0" w:line="125" w:lineRule="exact"/>
        <w:rPr>
          <w:rFonts w:ascii="Arial" w:cs="Arial" w:eastAsia="Arial" w:hAnsi="Arial"/>
          <w:sz w:val="11"/>
          <w:szCs w:val="11"/>
          <w:color w:val="auto"/>
        </w:rPr>
      </w:pPr>
    </w:p>
    <w:p>
      <w:pPr>
        <w:ind w:left="840" w:hanging="200"/>
        <w:spacing w:after="0"/>
        <w:tabs>
          <w:tab w:leader="none" w:pos="840" w:val="left"/>
        </w:tabs>
        <w:numPr>
          <w:ilvl w:val="1"/>
          <w:numId w:val="8"/>
        </w:numPr>
        <w:rPr>
          <w:rFonts w:ascii="Arial" w:cs="Arial" w:eastAsia="Arial" w:hAnsi="Arial"/>
          <w:sz w:val="11"/>
          <w:szCs w:val="11"/>
          <w:color w:val="auto"/>
        </w:rPr>
      </w:pPr>
      <w:r>
        <w:rPr>
          <w:rFonts w:ascii="Arial" w:cs="Arial" w:eastAsia="Arial" w:hAnsi="Arial"/>
          <w:sz w:val="11"/>
          <w:szCs w:val="11"/>
          <w:color w:val="auto"/>
        </w:rPr>
        <w:t>Early-stage discovery and preclinical programs to sustain long-term pipeline growth.</w:t>
      </w:r>
    </w:p>
    <w:p>
      <w:pPr>
        <w:spacing w:after="0" w:line="125" w:lineRule="exact"/>
        <w:rPr>
          <w:rFonts w:ascii="Arial" w:cs="Arial" w:eastAsia="Arial" w:hAnsi="Arial"/>
          <w:sz w:val="11"/>
          <w:szCs w:val="11"/>
          <w:color w:val="auto"/>
        </w:rPr>
      </w:pPr>
    </w:p>
    <w:p>
      <w:pPr>
        <w:ind w:left="420" w:right="20" w:hanging="212"/>
        <w:spacing w:after="0" w:line="302" w:lineRule="auto"/>
        <w:tabs>
          <w:tab w:leader="none" w:pos="413"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 xml:space="preserve">Selling, general and administrative expenses </w:t>
      </w:r>
      <w:r>
        <w:rPr>
          <w:rFonts w:ascii="Arial" w:cs="Arial" w:eastAsia="Arial" w:hAnsi="Arial"/>
          <w:sz w:val="11"/>
          <w:szCs w:val="11"/>
          <w:color w:val="auto"/>
        </w:rPr>
        <w:t>for the three and twelve months ended December 31, 2025 were $0.4 billion and $1.4 billion, respectively, compared to $0.3 billion and $1.1 billion, respectively, for the same</w:t>
      </w:r>
      <w:r>
        <w:rPr>
          <w:rFonts w:ascii="Arial" w:cs="Arial" w:eastAsia="Arial" w:hAnsi="Arial"/>
          <w:sz w:val="11"/>
          <w:szCs w:val="11"/>
          <w:b w:val="1"/>
          <w:bCs w:val="1"/>
          <w:color w:val="auto"/>
        </w:rPr>
        <w:t xml:space="preserve"> </w:t>
      </w:r>
      <w:r>
        <w:rPr>
          <w:rFonts w:ascii="Arial" w:cs="Arial" w:eastAsia="Arial" w:hAnsi="Arial"/>
          <w:sz w:val="11"/>
          <w:szCs w:val="11"/>
          <w:color w:val="auto"/>
        </w:rPr>
        <w:t>periods in 2024. The selling, general and administrative expenses mainly related to professional and marketing fees linked to global commercialization of the VYVGART franchise, and personnel expenses.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Financial income </w:t>
      </w:r>
      <w:r>
        <w:rPr>
          <w:rFonts w:ascii="Arial" w:cs="Arial" w:eastAsia="Arial" w:hAnsi="Arial"/>
          <w:sz w:val="11"/>
          <w:szCs w:val="11"/>
          <w:color w:val="auto"/>
        </w:rPr>
        <w:t>for the three and twelve months ended December 31, 2025 was $45 million and $163 million, respectively, compared to $39 million and $158 million, respectively, for the same periods in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60" w:type="dxa"/>
            <w:vAlign w:val="bottom"/>
            <w:gridSpan w:val="2"/>
          </w:tcPr>
          <w:p>
            <w:pPr>
              <w:spacing w:after="0"/>
              <w:rPr>
                <w:sz w:val="20"/>
                <w:szCs w:val="20"/>
                <w:color w:val="auto"/>
              </w:rPr>
            </w:pPr>
            <w:r>
              <w:rPr>
                <w:rFonts w:ascii="Arial" w:cs="Arial" w:eastAsia="Arial" w:hAnsi="Arial"/>
                <w:sz w:val="11"/>
                <w:szCs w:val="11"/>
                <w:b w:val="1"/>
                <w:bCs w:val="1"/>
                <w:color w:val="auto"/>
              </w:rPr>
              <w:t>Income tax benefit</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8"/>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gridSpan w:val="3"/>
          </w:tcPr>
          <w:p>
            <w:pPr>
              <w:jc w:val="center"/>
              <w:ind w:left="26"/>
              <w:spacing w:after="0"/>
              <w:rPr>
                <w:sz w:val="20"/>
                <w:szCs w:val="20"/>
                <w:color w:val="auto"/>
              </w:rPr>
            </w:pPr>
            <w:r>
              <w:rPr>
                <w:rFonts w:ascii="Arial" w:cs="Arial" w:eastAsia="Arial" w:hAnsi="Arial"/>
                <w:sz w:val="11"/>
                <w:szCs w:val="11"/>
                <w:b w:val="1"/>
                <w:bCs w:val="1"/>
                <w:color w:val="auto"/>
                <w:w w:val="99"/>
              </w:rPr>
              <w:t>Three Months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3"/>
          </w:tcPr>
          <w:p>
            <w:pPr>
              <w:jc w:val="center"/>
              <w:ind w:left="666"/>
              <w:spacing w:after="0"/>
              <w:rPr>
                <w:sz w:val="20"/>
                <w:szCs w:val="20"/>
                <w:color w:val="auto"/>
              </w:rPr>
            </w:pPr>
            <w:r>
              <w:rPr>
                <w:rFonts w:ascii="Arial" w:cs="Arial" w:eastAsia="Arial" w:hAnsi="Arial"/>
                <w:sz w:val="11"/>
                <w:szCs w:val="11"/>
                <w:b w:val="1"/>
                <w:bCs w:val="1"/>
                <w:color w:val="auto"/>
                <w:w w:val="98"/>
              </w:rPr>
              <w:t>Twelve Months Ended</w:t>
            </w:r>
          </w:p>
        </w:tc>
        <w:tc>
          <w:tcPr>
            <w:tcW w:w="720" w:type="dxa"/>
            <w:vAlign w:val="bottom"/>
          </w:tcPr>
          <w:p>
            <w:pPr>
              <w:spacing w:after="0"/>
              <w:rPr>
                <w:sz w:val="13"/>
                <w:szCs w:val="13"/>
                <w:color w:val="auto"/>
              </w:rPr>
            </w:pPr>
          </w:p>
        </w:tc>
      </w:tr>
      <w:tr>
        <w:trPr>
          <w:trHeight w:val="144"/>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center"/>
              <w:ind w:left="26"/>
              <w:spacing w:after="0"/>
              <w:rPr>
                <w:sz w:val="20"/>
                <w:szCs w:val="20"/>
                <w:color w:val="auto"/>
              </w:rPr>
            </w:pPr>
            <w:r>
              <w:rPr>
                <w:rFonts w:ascii="Arial" w:cs="Arial" w:eastAsia="Arial" w:hAnsi="Arial"/>
                <w:sz w:val="11"/>
                <w:szCs w:val="11"/>
                <w:b w:val="1"/>
                <w:bCs w:val="1"/>
                <w:color w:val="auto"/>
                <w:w w:val="99"/>
              </w:rPr>
              <w:t>December 31</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tcBorders>
              <w:bottom w:val="single" w:sz="8" w:color="auto"/>
            </w:tcBorders>
            <w:gridSpan w:val="3"/>
          </w:tcPr>
          <w:p>
            <w:pPr>
              <w:jc w:val="center"/>
              <w:ind w:left="666"/>
              <w:spacing w:after="0"/>
              <w:rPr>
                <w:sz w:val="20"/>
                <w:szCs w:val="20"/>
                <w:color w:val="auto"/>
              </w:rPr>
            </w:pPr>
            <w:r>
              <w:rPr>
                <w:rFonts w:ascii="Arial" w:cs="Arial" w:eastAsia="Arial" w:hAnsi="Arial"/>
                <w:sz w:val="11"/>
                <w:szCs w:val="11"/>
                <w:b w:val="1"/>
                <w:bCs w:val="1"/>
                <w:color w:val="auto"/>
                <w:w w:val="96"/>
              </w:rPr>
              <w:t>December 31</w:t>
            </w:r>
          </w:p>
        </w:tc>
        <w:tc>
          <w:tcPr>
            <w:tcW w:w="720" w:type="dxa"/>
            <w:vAlign w:val="bottom"/>
            <w:tcBorders>
              <w:bottom w:val="single" w:sz="8" w:color="auto"/>
            </w:tcBorders>
          </w:tcPr>
          <w:p>
            <w:pPr>
              <w:spacing w:after="0"/>
              <w:rPr>
                <w:sz w:val="12"/>
                <w:szCs w:val="12"/>
                <w:color w:val="auto"/>
              </w:rPr>
            </w:pPr>
          </w:p>
        </w:tc>
      </w:tr>
      <w:tr>
        <w:trPr>
          <w:trHeight w:val="133"/>
        </w:trPr>
        <w:tc>
          <w:tcPr>
            <w:tcW w:w="3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millions of $)</w:t>
            </w:r>
          </w:p>
        </w:tc>
        <w:tc>
          <w:tcPr>
            <w:tcW w:w="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2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2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33"/>
        </w:trPr>
        <w:tc>
          <w:tcPr>
            <w:tcW w:w="4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tax expense</w:t>
            </w:r>
          </w:p>
        </w:tc>
        <w:tc>
          <w:tcPr>
            <w:tcW w:w="640" w:type="dxa"/>
            <w:vAlign w:val="bottom"/>
            <w:shd w:val="clear" w:color="auto" w:fill="CCEEFF"/>
          </w:tcPr>
          <w:p>
            <w:pPr>
              <w:jc w:val="right"/>
              <w:ind w:right="50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r>
      <w:tr>
        <w:trPr>
          <w:trHeight w:val="143"/>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Deferred tax benefit</w:t>
            </w: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346</w:t>
            </w: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w:t>
            </w:r>
          </w:p>
        </w:tc>
        <w:tc>
          <w:tcPr>
            <w:tcW w:w="22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351</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802</w:t>
            </w:r>
          </w:p>
        </w:tc>
      </w:tr>
      <w:tr>
        <w:trPr>
          <w:trHeight w:val="134"/>
        </w:trPr>
        <w:tc>
          <w:tcPr>
            <w:tcW w:w="40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tax benefit</w:t>
            </w:r>
          </w:p>
        </w:tc>
        <w:tc>
          <w:tcPr>
            <w:tcW w:w="64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130</w:t>
            </w:r>
          </w:p>
        </w:tc>
        <w:tc>
          <w:tcPr>
            <w:tcW w:w="20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688</w:t>
            </w:r>
          </w:p>
        </w:tc>
        <w:tc>
          <w:tcPr>
            <w:tcW w:w="220" w:type="dxa"/>
            <w:vAlign w:val="bottom"/>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w:t>
            </w:r>
          </w:p>
        </w:tc>
        <w:tc>
          <w:tcPr>
            <w:tcW w:w="26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748</w:t>
            </w:r>
          </w:p>
        </w:tc>
      </w:tr>
    </w:tbl>
    <w:p>
      <w:pPr>
        <w:spacing w:after="0" w:line="162" w:lineRule="exact"/>
        <w:rPr>
          <w:sz w:val="20"/>
          <w:szCs w:val="20"/>
          <w:color w:val="auto"/>
        </w:rPr>
      </w:pPr>
    </w:p>
    <w:p>
      <w:pPr>
        <w:spacing w:after="0" w:line="302" w:lineRule="auto"/>
        <w:rPr>
          <w:sz w:val="20"/>
          <w:szCs w:val="20"/>
          <w:color w:val="auto"/>
        </w:rPr>
      </w:pPr>
      <w:r>
        <w:rPr>
          <w:rFonts w:ascii="Arial" w:cs="Arial" w:eastAsia="Arial" w:hAnsi="Arial"/>
          <w:sz w:val="11"/>
          <w:szCs w:val="11"/>
          <w:b w:val="1"/>
          <w:bCs w:val="1"/>
          <w:color w:val="auto"/>
        </w:rPr>
        <w:t xml:space="preserve">Profit </w:t>
      </w:r>
      <w:r>
        <w:rPr>
          <w:rFonts w:ascii="Arial" w:cs="Arial" w:eastAsia="Arial" w:hAnsi="Arial"/>
          <w:sz w:val="11"/>
          <w:szCs w:val="11"/>
          <w:color w:val="auto"/>
        </w:rPr>
        <w:t>for the three and twelve month periods ended December 31, 2025 was $533 million and $1.3 billion, respectively, compared to $774 million and $833 million, respectively, for the same periods in 2024. On a per weighted average</w:t>
      </w:r>
      <w:r>
        <w:rPr>
          <w:rFonts w:ascii="Arial" w:cs="Arial" w:eastAsia="Arial" w:hAnsi="Arial"/>
          <w:sz w:val="11"/>
          <w:szCs w:val="11"/>
          <w:b w:val="1"/>
          <w:bCs w:val="1"/>
          <w:color w:val="auto"/>
        </w:rPr>
        <w:t xml:space="preserve"> </w:t>
      </w:r>
      <w:r>
        <w:rPr>
          <w:rFonts w:ascii="Arial" w:cs="Arial" w:eastAsia="Arial" w:hAnsi="Arial"/>
          <w:sz w:val="11"/>
          <w:szCs w:val="11"/>
          <w:color w:val="auto"/>
        </w:rPr>
        <w:t>share basis, the basic profit per share was $21.08 for the year ended December 31, 2025, compared to $13.92 for the year ended December 31, 2024.</w:t>
      </w:r>
    </w:p>
    <w:p>
      <w:pPr>
        <w:sectPr>
          <w:pgSz w:w="11900" w:h="16838" w:orient="portrait"/>
          <w:cols w:equalWidth="0" w:num="1">
            <w:col w:w="11300"/>
          </w:cols>
          <w:pgMar w:left="300" w:top="138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EXPECTED 2026 FINANCIAL CALENDAR</w:t>
      </w:r>
    </w:p>
    <w:p>
      <w:pPr>
        <w:spacing w:after="0" w:line="126"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March 19, 2026: Publication of the 2025 Annual Report</w:t>
      </w:r>
    </w:p>
    <w:p>
      <w:pPr>
        <w:spacing w:after="0" w:line="126"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May 6, 2026: Annual General Meeting of Shareholders in Amsterdam, the Netherlands</w:t>
      </w:r>
    </w:p>
    <w:p>
      <w:pPr>
        <w:spacing w:after="0" w:line="108"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May 7, 2026: First Quarter 2026 Financial Results and Business Update</w:t>
      </w:r>
    </w:p>
    <w:p>
      <w:pPr>
        <w:spacing w:after="0" w:line="108"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July 23, 2026: Half Year and Second Quarter 2026 Financial Results and Business Update</w:t>
      </w:r>
    </w:p>
    <w:p>
      <w:pPr>
        <w:spacing w:after="0" w:line="117"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October 22, 2026: Third Quarter 2026 Financial Results and Business Update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CONFERENCE CALL DETAILS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 xml:space="preserve">The full year 2025 financial results and business update will be discussed during a conference call and webcast presentation today at 2:30 pm CET/8:30 am ET. A webcast of the live call and replay may be accessed on the Investors section of the argenx website at </w:t>
      </w:r>
      <w:r>
        <w:rPr>
          <w:rFonts w:ascii="Arial" w:cs="Arial" w:eastAsia="Arial" w:hAnsi="Arial"/>
          <w:sz w:val="11"/>
          <w:szCs w:val="11"/>
          <w:u w:val="single" w:color="auto"/>
          <w:color w:val="3051F2"/>
        </w:rPr>
        <w:t>argenx.com/investors</w:t>
      </w:r>
      <w:r>
        <w:rPr>
          <w:rFonts w:ascii="Arial" w:cs="Arial" w:eastAsia="Arial" w:hAnsi="Arial"/>
          <w:sz w:val="11"/>
          <w:szCs w:val="11"/>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Dial-in numbers: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Please dial in 15 minutes prior to the live call.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 w:type="dxa"/>
            <w:vAlign w:val="bottom"/>
          </w:tcPr>
          <w:p>
            <w:pPr>
              <w:spacing w:after="0"/>
              <w:rPr>
                <w:sz w:val="20"/>
                <w:szCs w:val="20"/>
                <w:color w:val="auto"/>
              </w:rPr>
            </w:pPr>
            <w:r>
              <w:rPr>
                <w:rFonts w:ascii="Arial" w:cs="Arial" w:eastAsia="Arial" w:hAnsi="Arial"/>
                <w:sz w:val="11"/>
                <w:szCs w:val="11"/>
                <w:color w:val="auto"/>
              </w:rPr>
              <w:t>Belgium</w:t>
            </w:r>
          </w:p>
        </w:tc>
        <w:tc>
          <w:tcPr>
            <w:tcW w:w="1180" w:type="dxa"/>
            <w:vAlign w:val="bottom"/>
            <w:gridSpan w:val="2"/>
          </w:tcPr>
          <w:p>
            <w:pPr>
              <w:jc w:val="right"/>
              <w:ind w:right="326"/>
              <w:spacing w:after="0"/>
              <w:rPr>
                <w:sz w:val="20"/>
                <w:szCs w:val="20"/>
                <w:color w:val="auto"/>
              </w:rPr>
            </w:pPr>
            <w:r>
              <w:rPr>
                <w:rFonts w:ascii="Arial" w:cs="Arial" w:eastAsia="Arial" w:hAnsi="Arial"/>
                <w:sz w:val="11"/>
                <w:szCs w:val="11"/>
                <w:color w:val="auto"/>
              </w:rPr>
              <w:t>32 800 50 201</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France</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rPr>
              <w:t>33 800 943355</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Netherlands</w:t>
            </w:r>
          </w:p>
        </w:tc>
        <w:tc>
          <w:tcPr>
            <w:tcW w:w="140" w:type="dxa"/>
            <w:vAlign w:val="bottom"/>
          </w:tcPr>
          <w:p>
            <w:pPr>
              <w:spacing w:after="0"/>
              <w:rPr>
                <w:sz w:val="12"/>
                <w:szCs w:val="12"/>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9"/>
              </w:rPr>
              <w:t>31 20 795 1090</w:t>
            </w:r>
          </w:p>
        </w:tc>
      </w:tr>
      <w:tr>
        <w:trPr>
          <w:trHeight w:val="144"/>
        </w:trPr>
        <w:tc>
          <w:tcPr>
            <w:tcW w:w="780" w:type="dxa"/>
            <w:vAlign w:val="bottom"/>
            <w:gridSpan w:val="2"/>
          </w:tcPr>
          <w:p>
            <w:pPr>
              <w:spacing w:after="0"/>
              <w:rPr>
                <w:sz w:val="20"/>
                <w:szCs w:val="20"/>
                <w:color w:val="auto"/>
              </w:rPr>
            </w:pPr>
            <w:r>
              <w:rPr>
                <w:rFonts w:ascii="Arial" w:cs="Arial" w:eastAsia="Arial" w:hAnsi="Arial"/>
                <w:sz w:val="11"/>
                <w:szCs w:val="11"/>
                <w:color w:val="auto"/>
                <w:w w:val="97"/>
              </w:rPr>
              <w:t>United Kingdom</w:t>
            </w:r>
          </w:p>
        </w:tc>
        <w:tc>
          <w:tcPr>
            <w:tcW w:w="1040" w:type="dxa"/>
            <w:vAlign w:val="bottom"/>
          </w:tcPr>
          <w:p>
            <w:pPr>
              <w:jc w:val="right"/>
              <w:spacing w:after="0"/>
              <w:rPr>
                <w:sz w:val="20"/>
                <w:szCs w:val="20"/>
                <w:color w:val="auto"/>
              </w:rPr>
            </w:pPr>
            <w:r>
              <w:rPr>
                <w:rFonts w:ascii="Arial" w:cs="Arial" w:eastAsia="Arial" w:hAnsi="Arial"/>
                <w:sz w:val="11"/>
                <w:szCs w:val="11"/>
                <w:color w:val="auto"/>
              </w:rPr>
              <w:t>44 800 358 0970</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w w:val="93"/>
              </w:rPr>
              <w:t>United States</w:t>
            </w:r>
          </w:p>
        </w:tc>
        <w:tc>
          <w:tcPr>
            <w:tcW w:w="140" w:type="dxa"/>
            <w:vAlign w:val="bottom"/>
          </w:tcPr>
          <w:p>
            <w:pPr>
              <w:spacing w:after="0"/>
              <w:rPr>
                <w:sz w:val="12"/>
                <w:szCs w:val="12"/>
                <w:color w:val="auto"/>
              </w:rPr>
            </w:pPr>
          </w:p>
        </w:tc>
        <w:tc>
          <w:tcPr>
            <w:tcW w:w="1040" w:type="dxa"/>
            <w:vAlign w:val="bottom"/>
          </w:tcPr>
          <w:p>
            <w:pPr>
              <w:jc w:val="right"/>
              <w:ind w:right="106"/>
              <w:spacing w:after="0"/>
              <w:rPr>
                <w:sz w:val="20"/>
                <w:szCs w:val="20"/>
                <w:color w:val="auto"/>
              </w:rPr>
            </w:pPr>
            <w:r>
              <w:rPr>
                <w:rFonts w:ascii="Arial" w:cs="Arial" w:eastAsia="Arial" w:hAnsi="Arial"/>
                <w:sz w:val="11"/>
                <w:szCs w:val="11"/>
                <w:color w:val="auto"/>
              </w:rPr>
              <w:t>1 888 415 4250</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Japan</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w w:val="96"/>
              </w:rPr>
              <w:t>81 3 4578 9081</w:t>
            </w:r>
          </w:p>
        </w:tc>
      </w:tr>
      <w:tr>
        <w:trPr>
          <w:trHeight w:val="144"/>
        </w:trPr>
        <w:tc>
          <w:tcPr>
            <w:tcW w:w="640" w:type="dxa"/>
            <w:vAlign w:val="bottom"/>
          </w:tcPr>
          <w:p>
            <w:pPr>
              <w:spacing w:after="0"/>
              <w:rPr>
                <w:sz w:val="20"/>
                <w:szCs w:val="20"/>
                <w:color w:val="auto"/>
              </w:rPr>
            </w:pPr>
            <w:r>
              <w:rPr>
                <w:rFonts w:ascii="Arial" w:cs="Arial" w:eastAsia="Arial" w:hAnsi="Arial"/>
                <w:sz w:val="11"/>
                <w:szCs w:val="11"/>
                <w:color w:val="auto"/>
              </w:rPr>
              <w:t>Switzerland</w:t>
            </w:r>
          </w:p>
        </w:tc>
        <w:tc>
          <w:tcPr>
            <w:tcW w:w="140" w:type="dxa"/>
            <w:vAlign w:val="bottom"/>
          </w:tcPr>
          <w:p>
            <w:pPr>
              <w:spacing w:after="0"/>
              <w:rPr>
                <w:sz w:val="12"/>
                <w:szCs w:val="12"/>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5"/>
              </w:rPr>
              <w:t>41 43 210 11 32</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VYVGART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VYVGART®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VYVGART SC is a subcutaneous combination of efgartigimod alfa and recombinant human hyaluronidase PH20 (rHuPH20), Halozyme’s ENHANZE® drug delivery technology to facilitate subcutaneous injection delivery of biologics. It is marketed as VYVGART® Hytrulo in the U.S., VYVGART SC in Europe, VYVDURA® in Japan, and may be marketed under different proprietary names following approval in other regions.</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argenx</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Arial" w:cs="Arial" w:eastAsia="Arial" w:hAnsi="Arial"/>
          <w:sz w:val="11"/>
          <w:szCs w:val="11"/>
          <w:u w:val="single" w:color="auto"/>
          <w:color w:val="3051F2"/>
        </w:rPr>
        <w:t>www.argenx.com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3051F2"/>
        </w:rPr>
        <w:t>LinkedIn</w:t>
      </w:r>
      <w:r>
        <w:rPr>
          <w:rFonts w:ascii="Arial" w:cs="Arial" w:eastAsia="Arial" w:hAnsi="Arial"/>
          <w:sz w:val="11"/>
          <w:szCs w:val="11"/>
          <w:color w:val="auto"/>
        </w:rPr>
        <w:t xml:space="preserve">, </w:t>
      </w:r>
      <w:r>
        <w:rPr>
          <w:rFonts w:ascii="Arial" w:cs="Arial" w:eastAsia="Arial" w:hAnsi="Arial"/>
          <w:sz w:val="11"/>
          <w:szCs w:val="11"/>
          <w:u w:val="single" w:color="auto"/>
          <w:color w:val="3051F2"/>
        </w:rPr>
        <w:t>Instagram</w:t>
      </w:r>
      <w:r>
        <w:rPr>
          <w:rFonts w:ascii="Arial" w:cs="Arial" w:eastAsia="Arial" w:hAnsi="Arial"/>
          <w:sz w:val="11"/>
          <w:szCs w:val="11"/>
          <w:color w:val="auto"/>
        </w:rPr>
        <w:t xml:space="preserve">, </w:t>
      </w:r>
      <w:r>
        <w:rPr>
          <w:rFonts w:ascii="Arial" w:cs="Arial" w:eastAsia="Arial" w:hAnsi="Arial"/>
          <w:sz w:val="11"/>
          <w:szCs w:val="11"/>
          <w:u w:val="single" w:color="auto"/>
          <w:color w:val="3051F2"/>
        </w:rPr>
        <w:t>Facebook</w:t>
      </w:r>
      <w:r>
        <w:rPr>
          <w:rFonts w:ascii="Arial" w:cs="Arial" w:eastAsia="Arial" w:hAnsi="Arial"/>
          <w:sz w:val="11"/>
          <w:szCs w:val="11"/>
          <w:color w:val="000000"/>
        </w:rPr>
        <w:t>, and</w:t>
      </w:r>
      <w:r>
        <w:rPr>
          <w:rFonts w:ascii="Arial" w:cs="Arial" w:eastAsia="Arial" w:hAnsi="Arial"/>
          <w:sz w:val="11"/>
          <w:szCs w:val="11"/>
          <w:color w:val="3051F2"/>
        </w:rPr>
        <w:t xml:space="preserve"> </w:t>
      </w:r>
      <w:r>
        <w:rPr>
          <w:rFonts w:ascii="Arial" w:cs="Arial" w:eastAsia="Arial" w:hAnsi="Arial"/>
          <w:sz w:val="11"/>
          <w:szCs w:val="11"/>
          <w:u w:val="single" w:color="auto"/>
          <w:color w:val="3051F2"/>
        </w:rPr>
        <w:t>YouTube</w:t>
      </w:r>
      <w:r>
        <w:rPr>
          <w:rFonts w:ascii="Arial" w:cs="Arial" w:eastAsia="Arial" w:hAnsi="Arial"/>
          <w:sz w:val="11"/>
          <w:szCs w:val="11"/>
          <w:color w:val="000000"/>
        </w:rPr>
        <w: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Ben Petok</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u w:val="single" w:color="auto"/>
          <w:color w:val="3051F2"/>
        </w:rPr>
        <w:t>bpetok@argenx.com</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Alexandra Roy</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u w:val="single" w:color="auto"/>
          <w:color w:val="3051F2"/>
        </w:rPr>
        <w:t>aroy@argenx.com</w:t>
      </w:r>
    </w:p>
    <w:p>
      <w:pPr>
        <w:sectPr>
          <w:pgSz w:w="11900" w:h="16838" w:orient="portrait"/>
          <w:cols w:equalWidth="0" w:num="1">
            <w:col w:w="11300"/>
          </w:cols>
          <w:pgMar w:left="300" w:top="1220"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Forward Looking Statements</w:t>
      </w:r>
    </w:p>
    <w:p>
      <w:pPr>
        <w:spacing w:after="0" w:line="10" w:lineRule="exact"/>
        <w:rPr>
          <w:sz w:val="20"/>
          <w:szCs w:val="20"/>
          <w:color w:val="auto"/>
        </w:rPr>
      </w:pPr>
    </w:p>
    <w:p>
      <w:pPr>
        <w:jc w:val="both"/>
        <w:spacing w:after="0" w:line="145" w:lineRule="exact"/>
        <w:rPr>
          <w:sz w:val="20"/>
          <w:szCs w:val="20"/>
          <w:color w:val="auto"/>
        </w:rPr>
      </w:pPr>
      <w:r>
        <w:rPr>
          <w:rFonts w:ascii="Arial" w:cs="Arial" w:eastAsia="Arial" w:hAnsi="Arial"/>
          <w:sz w:val="10"/>
          <w:szCs w:val="10"/>
          <w:color w:val="auto"/>
        </w:rPr>
        <w:t>The contents of this announcement include statements that are, or may be deemed to be, “forward-looking statements.” These forward-looking statements can be identified by the use of forward-looking terminology, including the terms “advance,” “commit,” “continue,” “expand,” “expect,” and “progress,” and include statements argenx makes concerning its belief that 2026 is a year of expansion for the Company; its goal to expand the use of VYVGART to the broadest possible label to reach even more MG patients; its growth due to its momentum across its FcRn portfolio, together with continued progress across its broader pipeline with empasiprubart, adimanebart and new first-in-class candidates from its Immunology Innovation Program; its continued advancement of its ‘Vision 2030’ anchored in the ambition to treat 50,000 patients globally with its medicines, secure 10 labeled indications across approved medicines, and progress five pipeline candidates into Phase 3 development by 2030; the filing of the sBLA for oMG; the expected timing of topline results expected for primary ITP (ADVANCE-NEXT) in fourth quarter of 2026; the expected timing of its ongoing registrational studies in two rheumatology indications: (1) topline results from ALKIVIA study evaluating autoimmune inflammatory myopathies (AIM or myositis) expected in third quarter of 2026 and (2) topline results from UNITY study (Sjogren’s disease) expected in second half of 2027; the expected timing of the registrational study in Graves’ disease (GD) expected to initiate in 2026; its advancement of new pipeline candidates, innovative delivery modalities and combination approaches to set new standards for patients, including the expected timing of: (1) VYVGART SC autoinjector expected to launch in 2027; and (2) the progression of two next</w:t>
      </w:r>
      <w:r>
        <w:rPr>
          <w:rFonts w:ascii="MS PGothic" w:cs="MS PGothic" w:eastAsia="MS PGothic" w:hAnsi="MS PGothic"/>
          <w:sz w:val="10"/>
          <w:szCs w:val="10"/>
          <w:color w:val="auto"/>
        </w:rPr>
        <w:t>‑</w:t>
      </w:r>
      <w:r>
        <w:rPr>
          <w:rFonts w:ascii="Arial" w:cs="Arial" w:eastAsia="Arial" w:hAnsi="Arial"/>
          <w:sz w:val="10"/>
          <w:szCs w:val="10"/>
          <w:color w:val="auto"/>
        </w:rPr>
        <w:t>generation FcRn candidates in 2026: ARGX</w:t>
      </w:r>
      <w:r>
        <w:rPr>
          <w:rFonts w:ascii="MS PGothic" w:cs="MS PGothic" w:eastAsia="MS PGothic" w:hAnsi="MS PGothic"/>
          <w:sz w:val="10"/>
          <w:szCs w:val="10"/>
          <w:color w:val="auto"/>
        </w:rPr>
        <w:t>‑</w:t>
      </w:r>
      <w:r>
        <w:rPr>
          <w:rFonts w:ascii="Arial" w:cs="Arial" w:eastAsia="Arial" w:hAnsi="Arial"/>
          <w:sz w:val="10"/>
          <w:szCs w:val="10"/>
          <w:color w:val="auto"/>
        </w:rPr>
        <w:t>213 expected to enter patient studies and ARGX</w:t>
      </w:r>
      <w:r>
        <w:rPr>
          <w:rFonts w:ascii="MS PGothic" w:cs="MS PGothic" w:eastAsia="MS PGothic" w:hAnsi="MS PGothic"/>
          <w:sz w:val="10"/>
          <w:szCs w:val="10"/>
          <w:color w:val="auto"/>
        </w:rPr>
        <w:t>‑</w:t>
      </w:r>
      <w:r>
        <w:rPr>
          <w:rFonts w:ascii="Arial" w:cs="Arial" w:eastAsia="Arial" w:hAnsi="Arial"/>
          <w:sz w:val="10"/>
          <w:szCs w:val="10"/>
          <w:color w:val="auto"/>
        </w:rPr>
        <w:t>124 expected to complete Phase 1; its expectation that by the end of 2026, the argenx pipeline will include four Phase 3 molecules and a total of 10 molecules in clinical development, including: (1) Empasiprubart (anti-C2) in Phase 3 for MMN and CIDP; (2) adimanebart (MuSK agonist) entering Phase 3 for congenital myasthenic syndromes (CMS); (3) ARGX-121 (anti-IgA) and ARGX-109 (anti-IL-6) both entering patient studies this year; and (4) three additional molecules from the IIP entering Phase 1 in 2026, supporting argenx’s goal of launching, on average, one new pipeline candidate each year; the expected timing of its empasiprubart topline results from (1) EMPASSION study (MMN) in fourth quarter of 2026 and (2) EMVIGORATE and EMNERGIZE studies (CIDP) in second half of 2027; the expected timing of the decision for empasiprubart Phase 2 VARVARA study (DGF) at mid-year 2026 to complete 52-week efficacy analysis; the expected timing of the adimanebart CMS registrational study to start in third quarter of 2026; the expected timing of its clinical studies for its earlier-stage programs, including (1) Phase 2 study of ARGX-121 in IgA nephropathy (IgAN) to start in 2026 and (2) three new first-in class molecules to enter Phase 1 in 2026, including ARGX</w:t>
      </w:r>
      <w:r>
        <w:rPr>
          <w:rFonts w:ascii="MS PGothic" w:cs="MS PGothic" w:eastAsia="MS PGothic" w:hAnsi="MS PGothic"/>
          <w:sz w:val="10"/>
          <w:szCs w:val="10"/>
          <w:color w:val="auto"/>
        </w:rPr>
        <w:t>‑</w:t>
      </w:r>
      <w:r>
        <w:rPr>
          <w:rFonts w:ascii="Arial" w:cs="Arial" w:eastAsia="Arial" w:hAnsi="Arial"/>
          <w:sz w:val="10"/>
          <w:szCs w:val="10"/>
          <w:color w:val="auto"/>
        </w:rPr>
        <w:t>118 (Galectin</w:t>
      </w:r>
      <w:r>
        <w:rPr>
          <w:rFonts w:ascii="MS PGothic" w:cs="MS PGothic" w:eastAsia="MS PGothic" w:hAnsi="MS PGothic"/>
          <w:sz w:val="10"/>
          <w:szCs w:val="10"/>
          <w:color w:val="auto"/>
        </w:rPr>
        <w:t>‑</w:t>
      </w:r>
      <w:r>
        <w:rPr>
          <w:rFonts w:ascii="Arial" w:cs="Arial" w:eastAsia="Arial" w:hAnsi="Arial"/>
          <w:sz w:val="10"/>
          <w:szCs w:val="10"/>
          <w:color w:val="auto"/>
        </w:rPr>
        <w:t>10 inhibitor), ARGX</w:t>
      </w:r>
      <w:r>
        <w:rPr>
          <w:rFonts w:ascii="MS PGothic" w:cs="MS PGothic" w:eastAsia="MS PGothic" w:hAnsi="MS PGothic"/>
          <w:sz w:val="10"/>
          <w:szCs w:val="10"/>
          <w:color w:val="auto"/>
        </w:rPr>
        <w:t>‑</w:t>
      </w:r>
      <w:r>
        <w:rPr>
          <w:rFonts w:ascii="Arial" w:cs="Arial" w:eastAsia="Arial" w:hAnsi="Arial"/>
          <w:sz w:val="10"/>
          <w:szCs w:val="10"/>
          <w:color w:val="auto"/>
        </w:rPr>
        <w:t>125 (bispecific antibody), and TSP</w:t>
      </w:r>
      <w:r>
        <w:rPr>
          <w:rFonts w:ascii="MS PGothic" w:cs="MS PGothic" w:eastAsia="MS PGothic" w:hAnsi="MS PGothic"/>
          <w:sz w:val="10"/>
          <w:szCs w:val="10"/>
          <w:color w:val="auto"/>
        </w:rPr>
        <w:t>‑</w:t>
      </w:r>
      <w:r>
        <w:rPr>
          <w:rFonts w:ascii="Arial" w:cs="Arial" w:eastAsia="Arial" w:hAnsi="Arial"/>
          <w:sz w:val="10"/>
          <w:szCs w:val="10"/>
          <w:color w:val="auto"/>
        </w:rPr>
        <w:t>101, the Fn14</w:t>
      </w:r>
      <w:r>
        <w:rPr>
          <w:rFonts w:ascii="MS PGothic" w:cs="MS PGothic" w:eastAsia="MS PGothic" w:hAnsi="MS PGothic"/>
          <w:sz w:val="10"/>
          <w:szCs w:val="10"/>
          <w:color w:val="auto"/>
        </w:rPr>
        <w:t>‑</w:t>
      </w:r>
      <w:r>
        <w:rPr>
          <w:rFonts w:ascii="Arial" w:cs="Arial" w:eastAsia="Arial" w:hAnsi="Arial"/>
          <w:sz w:val="10"/>
          <w:szCs w:val="10"/>
          <w:color w:val="auto"/>
        </w:rPr>
        <w:t>targeting program from the Tensegrity research collaboration; its expected 2026 financial calendar,; its commitment to improve the lives of people suffering from severe autoimmune diseases; and its aim to translate immunology breakthroughs into a world-class portfolio of novel antibody-based medicines.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ectPr>
          <w:pgSz w:w="11900" w:h="16838" w:orient="portrait"/>
          <w:cols w:equalWidth="0" w:num="1">
            <w:col w:w="11300"/>
          </w:cols>
          <w:pgMar w:left="300" w:top="1220"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1"/>
          <w:szCs w:val="11"/>
          <w:b w:val="1"/>
          <w:bCs w:val="1"/>
          <w:color w:val="auto"/>
        </w:rPr>
        <w:t>ARGENX 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 CONSOLIDATED STATEMENTS OF FINANCIAL POSITION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0"/>
                <w:szCs w:val="10"/>
                <w:b w:val="1"/>
                <w:bCs w:val="1"/>
                <w:color w:val="auto"/>
                <w:w w:val="96"/>
              </w:rPr>
              <w:t>As of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 of $)</w:t>
            </w: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8"/>
              </w:rPr>
              <w:t>2024</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tcPr>
          <w:p>
            <w:pPr>
              <w:ind w:left="20"/>
              <w:spacing w:after="0" w:line="115" w:lineRule="exact"/>
              <w:rPr>
                <w:sz w:val="20"/>
                <w:szCs w:val="20"/>
                <w:color w:val="auto"/>
              </w:rPr>
            </w:pPr>
            <w:r>
              <w:rPr>
                <w:rFonts w:ascii="Arial" w:cs="Arial" w:eastAsia="Arial" w:hAnsi="Arial"/>
                <w:sz w:val="10"/>
                <w:szCs w:val="10"/>
                <w:b w:val="1"/>
                <w:bCs w:val="1"/>
                <w:color w:val="auto"/>
              </w:rPr>
              <w:t>Non</w:t>
            </w:r>
            <w:r>
              <w:rPr>
                <w:rFonts w:ascii="MS PGothic" w:cs="MS PGothic" w:eastAsia="MS PGothic" w:hAnsi="MS PGothic"/>
                <w:sz w:val="10"/>
                <w:szCs w:val="10"/>
                <w:color w:val="auto"/>
                <w:strike w:val="1"/>
              </w:rPr>
              <w:t>‑</w:t>
            </w:r>
            <w:r>
              <w:rPr>
                <w:rFonts w:ascii="Arial" w:cs="Arial" w:eastAsia="Arial" w:hAnsi="Arial"/>
                <w:sz w:val="10"/>
                <w:szCs w:val="10"/>
                <w:b w:val="1"/>
                <w:bCs w:val="1"/>
                <w:color w:val="auto"/>
              </w:rPr>
              <w:t>current assets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Property, plant and equipment</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48,247</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43,517</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22,675</w:t>
            </w:r>
          </w:p>
        </w:tc>
        <w:tc>
          <w:tcPr>
            <w:tcW w:w="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color w:val="auto"/>
              </w:rPr>
              <w:t>Intangible assets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272,103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181,445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125,228</w:t>
            </w:r>
          </w:p>
        </w:tc>
        <w:tc>
          <w:tcPr>
            <w:tcW w:w="20" w:type="dxa"/>
            <w:vAlign w:val="bottom"/>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Deferred tax assets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1,295,853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924,299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97,211</w:t>
            </w:r>
          </w:p>
        </w:tc>
        <w:tc>
          <w:tcPr>
            <w:tcW w:w="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color w:val="auto"/>
              </w:rPr>
              <w:t>Research and development incentive receivables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86,212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94,854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76,706</w:t>
            </w:r>
          </w:p>
        </w:tc>
        <w:tc>
          <w:tcPr>
            <w:tcW w:w="20" w:type="dxa"/>
            <w:vAlign w:val="bottom"/>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Investment in a joint venture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9,912</w:t>
            </w:r>
          </w:p>
        </w:tc>
        <w:tc>
          <w:tcPr>
            <w:tcW w:w="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color w:val="auto"/>
              </w:rPr>
              <w:t>Prepaid expenses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25,811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23,643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47,327</w:t>
            </w:r>
          </w:p>
        </w:tc>
        <w:tc>
          <w:tcPr>
            <w:tcW w:w="20" w:type="dxa"/>
            <w:vAlign w:val="bottom"/>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non-current assets</w:t>
            </w:r>
          </w:p>
        </w:tc>
        <w:tc>
          <w:tcPr>
            <w:tcW w:w="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51,990</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42,393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39,662</w:t>
            </w:r>
          </w:p>
        </w:tc>
        <w:tc>
          <w:tcPr>
            <w:tcW w:w="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00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0"/>
                <w:szCs w:val="10"/>
                <w:b w:val="1"/>
                <w:bCs w:val="1"/>
                <w:color w:val="auto"/>
              </w:rPr>
              <w:t>Total non</w:t>
            </w:r>
            <w:r>
              <w:rPr>
                <w:rFonts w:ascii="MS PGothic" w:cs="MS PGothic" w:eastAsia="MS PGothic" w:hAnsi="MS PGothic"/>
                <w:sz w:val="10"/>
                <w:szCs w:val="10"/>
                <w:color w:val="auto"/>
                <w:strike w:val="1"/>
              </w:rPr>
              <w:t>‑</w:t>
            </w:r>
            <w:r>
              <w:rPr>
                <w:rFonts w:ascii="Arial" w:cs="Arial" w:eastAsia="Arial" w:hAnsi="Arial"/>
                <w:sz w:val="10"/>
                <w:szCs w:val="10"/>
                <w:b w:val="1"/>
                <w:bCs w:val="1"/>
                <w:color w:val="auto"/>
              </w:rPr>
              <w:t>current assets</w:t>
            </w:r>
          </w:p>
        </w:tc>
        <w:tc>
          <w:tcPr>
            <w:tcW w:w="3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1,783,594</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1,319,419</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418,721</w:t>
            </w:r>
          </w:p>
        </w:tc>
        <w:tc>
          <w:tcPr>
            <w:tcW w:w="2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6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b w:val="1"/>
                <w:bCs w:val="1"/>
                <w:color w:val="auto"/>
              </w:rPr>
              <w:t>Current assets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Inventories</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473,530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407,233</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310,550</w:t>
            </w:r>
          </w:p>
        </w:tc>
        <w:tc>
          <w:tcPr>
            <w:tcW w:w="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color w:val="auto"/>
              </w:rPr>
              <w:t>Prepaid expenses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328,476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187,948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134,072</w:t>
            </w:r>
          </w:p>
        </w:tc>
        <w:tc>
          <w:tcPr>
            <w:tcW w:w="20" w:type="dxa"/>
            <w:vAlign w:val="bottom"/>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Trade and other receivables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1,646,692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904,471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496,687</w:t>
            </w:r>
          </w:p>
        </w:tc>
        <w:tc>
          <w:tcPr>
            <w:tcW w:w="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ind w:left="20"/>
              <w:spacing w:after="0"/>
              <w:rPr>
                <w:sz w:val="20"/>
                <w:szCs w:val="20"/>
                <w:color w:val="auto"/>
              </w:rPr>
            </w:pPr>
            <w:r>
              <w:rPr>
                <w:rFonts w:ascii="Arial" w:cs="Arial" w:eastAsia="Arial" w:hAnsi="Arial"/>
                <w:sz w:val="10"/>
                <w:szCs w:val="10"/>
                <w:color w:val="auto"/>
              </w:rPr>
              <w:t>Research and development incentive receivables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10,367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4,625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2,584</w:t>
            </w:r>
          </w:p>
        </w:tc>
        <w:tc>
          <w:tcPr>
            <w:tcW w:w="20" w:type="dxa"/>
            <w:vAlign w:val="bottom"/>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Financial assets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948,750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1,878,890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1,131,000</w:t>
            </w:r>
          </w:p>
        </w:tc>
        <w:tc>
          <w:tcPr>
            <w:tcW w:w="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Cash and cash equivalents</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3,491,289</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1,499,936</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2,048,844</w:t>
            </w:r>
          </w:p>
        </w:tc>
        <w:tc>
          <w:tcPr>
            <w:tcW w:w="20" w:type="dxa"/>
            <w:vAlign w:val="bottom"/>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current assets</w:t>
            </w:r>
          </w:p>
        </w:tc>
        <w:tc>
          <w:tcPr>
            <w:tcW w:w="32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6,899,104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4,883,103</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4,123,737</w:t>
            </w:r>
          </w:p>
        </w:tc>
        <w:tc>
          <w:tcPr>
            <w:tcW w:w="2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68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32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8,682,698</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6,202,522</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4,542,458</w:t>
            </w:r>
          </w:p>
        </w:tc>
        <w:tc>
          <w:tcPr>
            <w:tcW w:w="20" w:type="dxa"/>
            <w:vAlign w:val="bottom"/>
          </w:tcPr>
          <w:p>
            <w:pPr>
              <w:spacing w:after="0"/>
              <w:rPr>
                <w:sz w:val="12"/>
                <w:szCs w:val="12"/>
                <w:color w:val="auto"/>
              </w:rPr>
            </w:pPr>
          </w:p>
        </w:tc>
      </w:tr>
      <w:tr>
        <w:trPr>
          <w:trHeight w:val="277"/>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0"/>
                <w:szCs w:val="10"/>
                <w:b w:val="1"/>
                <w:bCs w:val="1"/>
                <w:color w:val="auto"/>
                <w:w w:val="94"/>
              </w:rPr>
              <w:t>As of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of $)</w:t>
            </w: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9"/>
              </w:rPr>
              <w:t>2024</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0"/>
                <w:szCs w:val="10"/>
                <w:color w:val="auto"/>
              </w:rPr>
            </w:pPr>
          </w:p>
        </w:tc>
      </w:tr>
      <w:tr>
        <w:trPr>
          <w:trHeight w:val="125"/>
        </w:trPr>
        <w:tc>
          <w:tcPr>
            <w:tcW w:w="20" w:type="dxa"/>
            <w:vAlign w:val="bottom"/>
            <w:shd w:val="clear" w:color="auto" w:fill="CCEEFF"/>
          </w:tcPr>
          <w:p>
            <w:pPr>
              <w:spacing w:after="0"/>
              <w:rPr>
                <w:sz w:val="10"/>
                <w:szCs w:val="1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Equity and liabilities</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7000" w:type="dxa"/>
            <w:vAlign w:val="bottom"/>
            <w:gridSpan w:val="2"/>
          </w:tcPr>
          <w:p>
            <w:pPr>
              <w:spacing w:after="0"/>
              <w:rPr>
                <w:sz w:val="20"/>
                <w:szCs w:val="20"/>
                <w:color w:val="auto"/>
              </w:rPr>
            </w:pPr>
            <w:r>
              <w:rPr>
                <w:rFonts w:ascii="Arial" w:cs="Arial" w:eastAsia="Arial" w:hAnsi="Arial"/>
                <w:sz w:val="10"/>
                <w:szCs w:val="10"/>
                <w:b w:val="1"/>
                <w:bCs w:val="1"/>
                <w:color w:val="auto"/>
              </w:rPr>
              <w:t>Equity</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0" w:type="dxa"/>
            <w:vAlign w:val="bottom"/>
            <w:shd w:val="clear" w:color="auto" w:fill="CCEEFF"/>
          </w:tcPr>
          <w:p>
            <w:pPr>
              <w:spacing w:after="0"/>
              <w:rPr>
                <w:sz w:val="11"/>
                <w:szCs w:val="1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Equity attributable to owners of the parent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7000" w:type="dxa"/>
            <w:vAlign w:val="bottom"/>
            <w:gridSpan w:val="2"/>
          </w:tcPr>
          <w:p>
            <w:pPr>
              <w:ind w:left="220"/>
              <w:spacing w:after="0"/>
              <w:rPr>
                <w:sz w:val="20"/>
                <w:szCs w:val="20"/>
                <w:color w:val="auto"/>
              </w:rPr>
            </w:pPr>
            <w:r>
              <w:rPr>
                <w:rFonts w:ascii="Arial" w:cs="Arial" w:eastAsia="Arial" w:hAnsi="Arial"/>
                <w:sz w:val="10"/>
                <w:szCs w:val="10"/>
                <w:i w:val="1"/>
                <w:iCs w:val="1"/>
                <w:color w:val="auto"/>
              </w:rPr>
              <w:t>Share capital</w:t>
            </w:r>
          </w:p>
        </w:tc>
        <w:tc>
          <w:tcPr>
            <w:tcW w:w="32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7,354</w:t>
            </w:r>
          </w:p>
        </w:tc>
        <w:tc>
          <w:tcPr>
            <w:tcW w:w="22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7,227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7,058</w:t>
            </w:r>
          </w:p>
        </w:tc>
        <w:tc>
          <w:tcPr>
            <w:tcW w:w="20" w:type="dxa"/>
            <w:vAlign w:val="bottom"/>
          </w:tcPr>
          <w:p>
            <w:pPr>
              <w:spacing w:after="0"/>
              <w:rPr>
                <w:sz w:val="13"/>
                <w:szCs w:val="13"/>
                <w:color w:val="auto"/>
              </w:rPr>
            </w:pPr>
          </w:p>
        </w:tc>
      </w:tr>
      <w:tr>
        <w:trPr>
          <w:trHeight w:val="156"/>
        </w:trPr>
        <w:tc>
          <w:tcPr>
            <w:tcW w:w="20" w:type="dxa"/>
            <w:vAlign w:val="bottom"/>
            <w:shd w:val="clear" w:color="auto" w:fill="CCEEFF"/>
          </w:tcPr>
          <w:p>
            <w:pPr>
              <w:spacing w:after="0"/>
              <w:rPr>
                <w:sz w:val="13"/>
                <w:szCs w:val="13"/>
                <w:color w:val="auto"/>
              </w:rPr>
            </w:pPr>
          </w:p>
        </w:tc>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i w:val="1"/>
                <w:iCs w:val="1"/>
                <w:color w:val="auto"/>
              </w:rPr>
              <w:t>Share premium</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6,186,554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5,948,916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5,651,497</w:t>
            </w:r>
          </w:p>
        </w:tc>
        <w:tc>
          <w:tcPr>
            <w:tcW w:w="20" w:type="dxa"/>
            <w:vAlign w:val="bottom"/>
            <w:shd w:val="clear" w:color="auto" w:fill="CCEEFF"/>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7000" w:type="dxa"/>
            <w:vAlign w:val="bottom"/>
            <w:gridSpan w:val="2"/>
          </w:tcPr>
          <w:p>
            <w:pPr>
              <w:ind w:left="220"/>
              <w:spacing w:after="0"/>
              <w:rPr>
                <w:sz w:val="20"/>
                <w:szCs w:val="20"/>
                <w:color w:val="auto"/>
              </w:rPr>
            </w:pPr>
            <w:r>
              <w:rPr>
                <w:rFonts w:ascii="Arial" w:cs="Arial" w:eastAsia="Arial" w:hAnsi="Arial"/>
                <w:sz w:val="10"/>
                <w:szCs w:val="10"/>
                <w:i w:val="1"/>
                <w:iCs w:val="1"/>
                <w:color w:val="auto"/>
              </w:rPr>
              <w:t>Translation differences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138,570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126,832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131,543</w:t>
            </w:r>
          </w:p>
        </w:tc>
        <w:tc>
          <w:tcPr>
            <w:tcW w:w="20" w:type="dxa"/>
            <w:vAlign w:val="bottom"/>
          </w:tcPr>
          <w:p>
            <w:pPr>
              <w:spacing w:after="0"/>
              <w:rPr>
                <w:sz w:val="13"/>
                <w:szCs w:val="13"/>
                <w:color w:val="auto"/>
              </w:rPr>
            </w:pPr>
          </w:p>
        </w:tc>
      </w:tr>
      <w:tr>
        <w:trPr>
          <w:trHeight w:val="156"/>
        </w:trPr>
        <w:tc>
          <w:tcPr>
            <w:tcW w:w="20" w:type="dxa"/>
            <w:vAlign w:val="bottom"/>
            <w:shd w:val="clear" w:color="auto" w:fill="CCEEFF"/>
          </w:tcPr>
          <w:p>
            <w:pPr>
              <w:spacing w:after="0"/>
              <w:rPr>
                <w:sz w:val="13"/>
                <w:szCs w:val="13"/>
                <w:color w:val="auto"/>
              </w:rPr>
            </w:pPr>
          </w:p>
        </w:tc>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i w:val="1"/>
                <w:iCs w:val="1"/>
                <w:color w:val="auto"/>
              </w:rPr>
              <w:t>Accumulated losses</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(279,769)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(1,571,804)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(2,404,844)</w:t>
            </w:r>
          </w:p>
        </w:tc>
        <w:tc>
          <w:tcPr>
            <w:tcW w:w="20" w:type="dxa"/>
            <w:vAlign w:val="bottom"/>
            <w:shd w:val="clear" w:color="auto" w:fill="CCEEFF"/>
          </w:tcPr>
          <w:p>
            <w:pPr>
              <w:spacing w:after="0"/>
              <w:rPr>
                <w:sz w:val="13"/>
                <w:szCs w:val="13"/>
                <w:color w:val="auto"/>
              </w:rPr>
            </w:pPr>
          </w:p>
        </w:tc>
      </w:tr>
      <w:tr>
        <w:trPr>
          <w:trHeight w:val="150"/>
        </w:trPr>
        <w:tc>
          <w:tcPr>
            <w:tcW w:w="20" w:type="dxa"/>
            <w:vAlign w:val="bottom"/>
            <w:tcBorders>
              <w:bottom w:val="single" w:sz="8" w:color="CCEEFF"/>
            </w:tcBorders>
          </w:tcPr>
          <w:p>
            <w:pPr>
              <w:spacing w:after="0"/>
              <w:rPr>
                <w:sz w:val="13"/>
                <w:szCs w:val="13"/>
                <w:color w:val="auto"/>
              </w:rPr>
            </w:pPr>
          </w:p>
        </w:tc>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i w:val="1"/>
                <w:iCs w:val="1"/>
                <w:color w:val="auto"/>
              </w:rPr>
              <w:t>Other reserves</w:t>
            </w: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1,270,383</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987,112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712,253</w:t>
            </w:r>
          </w:p>
        </w:tc>
        <w:tc>
          <w:tcPr>
            <w:tcW w:w="20" w:type="dxa"/>
            <w:vAlign w:val="bottom"/>
            <w:tcBorders>
              <w:bottom w:val="single" w:sz="8" w:color="auto"/>
            </w:tcBorders>
          </w:tcPr>
          <w:p>
            <w:pPr>
              <w:spacing w:after="0"/>
              <w:rPr>
                <w:sz w:val="13"/>
                <w:szCs w:val="13"/>
                <w:color w:val="auto"/>
              </w:rPr>
            </w:pPr>
          </w:p>
        </w:tc>
      </w:tr>
      <w:tr>
        <w:trPr>
          <w:trHeight w:val="143"/>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equity</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7,323,092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5,498,283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4,097,507</w:t>
            </w:r>
          </w:p>
        </w:tc>
        <w:tc>
          <w:tcPr>
            <w:tcW w:w="20" w:type="dxa"/>
            <w:vAlign w:val="bottom"/>
            <w:shd w:val="clear" w:color="auto" w:fill="CCEEFF"/>
          </w:tcPr>
          <w:p>
            <w:pPr>
              <w:spacing w:after="0"/>
              <w:rPr>
                <w:sz w:val="12"/>
                <w:szCs w:val="12"/>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68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135"/>
        </w:trPr>
        <w:tc>
          <w:tcPr>
            <w:tcW w:w="20" w:type="dxa"/>
            <w:vAlign w:val="bottom"/>
            <w:shd w:val="clear" w:color="auto" w:fill="CCEEFF"/>
          </w:tcPr>
          <w:p>
            <w:pPr>
              <w:spacing w:after="0"/>
              <w:rPr>
                <w:sz w:val="11"/>
                <w:szCs w:val="1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Non-current liabilities</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spacing w:after="0"/>
              <w:rPr>
                <w:sz w:val="20"/>
                <w:szCs w:val="20"/>
                <w:color w:val="auto"/>
              </w:rPr>
            </w:pPr>
            <w:r>
              <w:rPr>
                <w:rFonts w:ascii="Arial" w:cs="Arial" w:eastAsia="Arial" w:hAnsi="Arial"/>
                <w:sz w:val="10"/>
                <w:szCs w:val="10"/>
                <w:color w:val="auto"/>
              </w:rPr>
              <w:t>Provisions for employee benefits</w:t>
            </w:r>
          </w:p>
        </w:tc>
        <w:tc>
          <w:tcPr>
            <w:tcW w:w="32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3,093</w:t>
            </w:r>
          </w:p>
        </w:tc>
        <w:tc>
          <w:tcPr>
            <w:tcW w:w="22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1,803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1,449</w:t>
            </w:r>
          </w:p>
        </w:tc>
        <w:tc>
          <w:tcPr>
            <w:tcW w:w="20" w:type="dxa"/>
            <w:vAlign w:val="bottom"/>
          </w:tcPr>
          <w:p>
            <w:pPr>
              <w:spacing w:after="0"/>
              <w:rPr>
                <w:sz w:val="11"/>
                <w:szCs w:val="11"/>
                <w:color w:val="auto"/>
              </w:rPr>
            </w:pPr>
          </w:p>
        </w:tc>
      </w:tr>
      <w:tr>
        <w:trPr>
          <w:trHeight w:val="138"/>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Lease liabilities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36,327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32,520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15,354</w:t>
            </w:r>
          </w:p>
        </w:tc>
        <w:tc>
          <w:tcPr>
            <w:tcW w:w="20" w:type="dxa"/>
            <w:vAlign w:val="bottom"/>
            <w:shd w:val="clear" w:color="auto" w:fill="CCEEFF"/>
          </w:tcPr>
          <w:p>
            <w:pPr>
              <w:spacing w:after="0"/>
              <w:rPr>
                <w:sz w:val="12"/>
                <w:szCs w:val="12"/>
                <w:color w:val="auto"/>
              </w:rPr>
            </w:pPr>
          </w:p>
        </w:tc>
      </w:tr>
      <w:tr>
        <w:trPr>
          <w:trHeight w:val="132"/>
        </w:trPr>
        <w:tc>
          <w:tcPr>
            <w:tcW w:w="20" w:type="dxa"/>
            <w:vAlign w:val="bottom"/>
            <w:tcBorders>
              <w:bottom w:val="single" w:sz="8" w:color="CCEEFF"/>
            </w:tcBorders>
          </w:tcPr>
          <w:p>
            <w:pPr>
              <w:spacing w:after="0"/>
              <w:rPr>
                <w:sz w:val="11"/>
                <w:szCs w:val="1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Deferred tax liabilities</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5,155</w:t>
            </w:r>
          </w:p>
        </w:tc>
        <w:tc>
          <w:tcPr>
            <w:tcW w:w="20" w:type="dxa"/>
            <w:vAlign w:val="bottom"/>
            <w:tcBorders>
              <w:bottom w:val="single" w:sz="8" w:color="auto"/>
            </w:tcBorders>
          </w:tcPr>
          <w:p>
            <w:pPr>
              <w:spacing w:after="0"/>
              <w:rPr>
                <w:sz w:val="11"/>
                <w:szCs w:val="11"/>
                <w:color w:val="auto"/>
              </w:rPr>
            </w:pPr>
          </w:p>
        </w:tc>
      </w:tr>
      <w:tr>
        <w:trPr>
          <w:trHeight w:val="143"/>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non-current liabilities</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39,420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34,323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21,958</w:t>
            </w:r>
          </w:p>
        </w:tc>
        <w:tc>
          <w:tcPr>
            <w:tcW w:w="20" w:type="dxa"/>
            <w:vAlign w:val="bottom"/>
            <w:shd w:val="clear" w:color="auto" w:fill="CCEEFF"/>
          </w:tcPr>
          <w:p>
            <w:pPr>
              <w:spacing w:after="0"/>
              <w:rPr>
                <w:sz w:val="12"/>
                <w:szCs w:val="12"/>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68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135"/>
        </w:trPr>
        <w:tc>
          <w:tcPr>
            <w:tcW w:w="20" w:type="dxa"/>
            <w:vAlign w:val="bottom"/>
            <w:shd w:val="clear" w:color="auto" w:fill="CCEEFF"/>
          </w:tcPr>
          <w:p>
            <w:pPr>
              <w:spacing w:after="0"/>
              <w:rPr>
                <w:sz w:val="11"/>
                <w:szCs w:val="1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Current liabilities</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7000" w:type="dxa"/>
            <w:vAlign w:val="bottom"/>
            <w:gridSpan w:val="2"/>
          </w:tcPr>
          <w:p>
            <w:pPr>
              <w:spacing w:after="0"/>
              <w:rPr>
                <w:sz w:val="20"/>
                <w:szCs w:val="20"/>
                <w:color w:val="auto"/>
              </w:rPr>
            </w:pPr>
            <w:r>
              <w:rPr>
                <w:rFonts w:ascii="Arial" w:cs="Arial" w:eastAsia="Arial" w:hAnsi="Arial"/>
                <w:sz w:val="10"/>
                <w:szCs w:val="10"/>
                <w:color w:val="auto"/>
              </w:rPr>
              <w:t>Lease liabilities</w:t>
            </w:r>
          </w:p>
        </w:tc>
        <w:tc>
          <w:tcPr>
            <w:tcW w:w="32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10,833</w:t>
            </w:r>
          </w:p>
        </w:tc>
        <w:tc>
          <w:tcPr>
            <w:tcW w:w="22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6,533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4,646</w:t>
            </w:r>
          </w:p>
        </w:tc>
        <w:tc>
          <w:tcPr>
            <w:tcW w:w="20" w:type="dxa"/>
            <w:vAlign w:val="bottom"/>
          </w:tcPr>
          <w:p>
            <w:pPr>
              <w:spacing w:after="0"/>
              <w:rPr>
                <w:sz w:val="11"/>
                <w:szCs w:val="11"/>
                <w:color w:val="auto"/>
              </w:rPr>
            </w:pPr>
          </w:p>
        </w:tc>
      </w:tr>
      <w:tr>
        <w:trPr>
          <w:trHeight w:val="138"/>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Trade and other payables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1,267,144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649,993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414,013</w:t>
            </w:r>
          </w:p>
        </w:tc>
        <w:tc>
          <w:tcPr>
            <w:tcW w:w="20" w:type="dxa"/>
            <w:vAlign w:val="bottom"/>
            <w:shd w:val="clear" w:color="auto" w:fill="CCEEFF"/>
          </w:tcPr>
          <w:p>
            <w:pPr>
              <w:spacing w:after="0"/>
              <w:rPr>
                <w:sz w:val="12"/>
                <w:szCs w:val="12"/>
                <w:color w:val="auto"/>
              </w:rPr>
            </w:pPr>
          </w:p>
        </w:tc>
      </w:tr>
      <w:tr>
        <w:trPr>
          <w:trHeight w:val="132"/>
        </w:trPr>
        <w:tc>
          <w:tcPr>
            <w:tcW w:w="20" w:type="dxa"/>
            <w:vAlign w:val="bottom"/>
            <w:tcBorders>
              <w:bottom w:val="single" w:sz="8" w:color="CCEEFF"/>
            </w:tcBorders>
          </w:tcPr>
          <w:p>
            <w:pPr>
              <w:spacing w:after="0"/>
              <w:rPr>
                <w:sz w:val="11"/>
                <w:szCs w:val="1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Tax liabilities</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42,209</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13,390</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4,334</w:t>
            </w:r>
          </w:p>
        </w:tc>
        <w:tc>
          <w:tcPr>
            <w:tcW w:w="20" w:type="dxa"/>
            <w:vAlign w:val="bottom"/>
            <w:tcBorders>
              <w:bottom w:val="single" w:sz="8" w:color="auto"/>
            </w:tcBorders>
          </w:tcPr>
          <w:p>
            <w:pPr>
              <w:spacing w:after="0"/>
              <w:rPr>
                <w:sz w:val="11"/>
                <w:szCs w:val="11"/>
                <w:color w:val="auto"/>
              </w:rPr>
            </w:pPr>
          </w:p>
        </w:tc>
      </w:tr>
      <w:tr>
        <w:trPr>
          <w:trHeight w:val="143"/>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current liabilities</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1,320,186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669,916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422,993</w:t>
            </w:r>
          </w:p>
        </w:tc>
        <w:tc>
          <w:tcPr>
            <w:tcW w:w="20" w:type="dxa"/>
            <w:vAlign w:val="bottom"/>
            <w:shd w:val="clear" w:color="auto" w:fill="CCEEFF"/>
          </w:tcPr>
          <w:p>
            <w:pPr>
              <w:spacing w:after="0"/>
              <w:rPr>
                <w:sz w:val="12"/>
                <w:szCs w:val="12"/>
                <w:color w:val="auto"/>
              </w:rPr>
            </w:pPr>
          </w:p>
        </w:tc>
      </w:tr>
      <w:tr>
        <w:trPr>
          <w:trHeight w:val="126"/>
        </w:trPr>
        <w:tc>
          <w:tcPr>
            <w:tcW w:w="20" w:type="dxa"/>
            <w:vAlign w:val="bottom"/>
            <w:tcBorders>
              <w:top w:val="single" w:sz="8" w:color="CCEEFF"/>
              <w:bottom w:val="single" w:sz="8" w:color="CCEEFF"/>
            </w:tcBorders>
          </w:tcPr>
          <w:p>
            <w:pPr>
              <w:spacing w:after="0"/>
              <w:rPr>
                <w:sz w:val="10"/>
                <w:szCs w:val="10"/>
                <w:color w:val="auto"/>
              </w:rPr>
            </w:pPr>
          </w:p>
        </w:tc>
        <w:tc>
          <w:tcPr>
            <w:tcW w:w="6800" w:type="dxa"/>
            <w:vAlign w:val="bottom"/>
            <w:tcBorders>
              <w:top w:val="single" w:sz="8" w:color="CCEEFF"/>
              <w:bottom w:val="single" w:sz="8" w:color="CCEEFF"/>
            </w:tcBorders>
          </w:tcPr>
          <w:p>
            <w:pPr>
              <w:spacing w:after="0"/>
              <w:rPr>
                <w:sz w:val="10"/>
                <w:szCs w:val="10"/>
                <w:color w:val="auto"/>
              </w:rPr>
            </w:pPr>
          </w:p>
        </w:tc>
        <w:tc>
          <w:tcPr>
            <w:tcW w:w="20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CCEEFF"/>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r>
      <w:tr>
        <w:trPr>
          <w:trHeight w:val="140"/>
        </w:trPr>
        <w:tc>
          <w:tcPr>
            <w:tcW w:w="2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liabilities</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1,359,606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704,239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444,951</w:t>
            </w:r>
          </w:p>
        </w:tc>
        <w:tc>
          <w:tcPr>
            <w:tcW w:w="20" w:type="dxa"/>
            <w:vAlign w:val="bottom"/>
            <w:shd w:val="clear" w:color="auto" w:fill="CCEEFF"/>
          </w:tcPr>
          <w:p>
            <w:pPr>
              <w:spacing w:after="0"/>
              <w:rPr>
                <w:sz w:val="12"/>
                <w:szCs w:val="12"/>
                <w:color w:val="auto"/>
              </w:rPr>
            </w:pPr>
          </w:p>
        </w:tc>
      </w:tr>
      <w:tr>
        <w:trPr>
          <w:trHeight w:val="126"/>
        </w:trPr>
        <w:tc>
          <w:tcPr>
            <w:tcW w:w="20" w:type="dxa"/>
            <w:vAlign w:val="bottom"/>
            <w:tcBorders>
              <w:top w:val="single" w:sz="8" w:color="CCEEFF"/>
              <w:bottom w:val="single" w:sz="8" w:color="CCEEFF"/>
            </w:tcBorders>
          </w:tcPr>
          <w:p>
            <w:pPr>
              <w:spacing w:after="0"/>
              <w:rPr>
                <w:sz w:val="10"/>
                <w:szCs w:val="10"/>
                <w:color w:val="auto"/>
              </w:rPr>
            </w:pPr>
          </w:p>
        </w:tc>
        <w:tc>
          <w:tcPr>
            <w:tcW w:w="6800" w:type="dxa"/>
            <w:vAlign w:val="bottom"/>
            <w:tcBorders>
              <w:top w:val="single" w:sz="8" w:color="CCEEFF"/>
              <w:bottom w:val="single" w:sz="8" w:color="CCEEFF"/>
            </w:tcBorders>
          </w:tcPr>
          <w:p>
            <w:pPr>
              <w:spacing w:after="0"/>
              <w:rPr>
                <w:sz w:val="10"/>
                <w:szCs w:val="10"/>
                <w:color w:val="auto"/>
              </w:rPr>
            </w:pPr>
          </w:p>
        </w:tc>
        <w:tc>
          <w:tcPr>
            <w:tcW w:w="20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CCEEFF"/>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r>
      <w:tr>
        <w:trPr>
          <w:trHeight w:val="140"/>
        </w:trPr>
        <w:tc>
          <w:tcPr>
            <w:tcW w:w="20" w:type="dxa"/>
            <w:vAlign w:val="bottom"/>
            <w:tcBorders>
              <w:bottom w:val="single" w:sz="8" w:color="CCEEFF"/>
            </w:tcBorders>
            <w:shd w:val="clear" w:color="auto" w:fill="CCEEFF"/>
          </w:tcPr>
          <w:p>
            <w:pPr>
              <w:spacing w:after="0"/>
              <w:rPr>
                <w:sz w:val="12"/>
                <w:szCs w:val="1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Total equity and liabilities</w:t>
            </w: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8,682,698</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6,202,522</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4,542,458</w:t>
            </w:r>
          </w:p>
        </w:tc>
        <w:tc>
          <w:tcPr>
            <w:tcW w:w="20" w:type="dxa"/>
            <w:vAlign w:val="bottom"/>
            <w:tcBorders>
              <w:bottom w:val="single" w:sz="8" w:color="auto"/>
            </w:tcBorders>
            <w:shd w:val="clear" w:color="auto" w:fill="CCEEFF"/>
          </w:tcPr>
          <w:p>
            <w:pPr>
              <w:spacing w:after="0"/>
              <w:rPr>
                <w:sz w:val="12"/>
                <w:szCs w:val="12"/>
                <w:color w:val="auto"/>
              </w:rPr>
            </w:pPr>
          </w:p>
        </w:tc>
      </w:tr>
    </w:tbl>
    <w:p>
      <w:pPr>
        <w:sectPr>
          <w:pgSz w:w="11900" w:h="16838" w:orient="portrait"/>
          <w:cols w:equalWidth="0" w:num="1">
            <w:col w:w="11280"/>
          </w:cols>
          <w:pgMar w:left="300" w:top="563"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1"/>
          <w:szCs w:val="11"/>
          <w:b w:val="1"/>
          <w:bCs w:val="1"/>
          <w:color w:val="auto"/>
        </w:rPr>
        <w:t>ARGENX 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 CONSOLIDATED STATEMENTS OF PROFIT OR LOSS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25"/>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 of $ except for shares and EPS)</w:t>
            </w:r>
          </w:p>
        </w:tc>
        <w:tc>
          <w:tcPr>
            <w:tcW w:w="2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2023</w:t>
            </w:r>
          </w:p>
        </w:tc>
      </w:tr>
      <w:tr>
        <w:trPr>
          <w:trHeight w:val="125"/>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Product net sales</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4,151,316</w:t>
            </w: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2,185,883</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1,190,783</w:t>
            </w:r>
          </w:p>
        </w:tc>
      </w:tr>
      <w:tr>
        <w:trPr>
          <w:trHeight w:val="135"/>
        </w:trPr>
        <w:tc>
          <w:tcPr>
            <w:tcW w:w="7040" w:type="dxa"/>
            <w:vAlign w:val="bottom"/>
            <w:gridSpan w:val="2"/>
          </w:tcPr>
          <w:p>
            <w:pPr>
              <w:ind w:left="20"/>
              <w:spacing w:after="0" w:line="135" w:lineRule="exact"/>
              <w:rPr>
                <w:sz w:val="20"/>
                <w:szCs w:val="20"/>
                <w:color w:val="auto"/>
              </w:rPr>
            </w:pPr>
            <w:r>
              <w:rPr>
                <w:rFonts w:ascii="Arial" w:cs="Arial" w:eastAsia="Arial" w:hAnsi="Arial"/>
                <w:sz w:val="10"/>
                <w:szCs w:val="10"/>
                <w:color w:val="auto"/>
              </w:rPr>
              <w:t>Other operating income</w:t>
            </w:r>
            <w:r>
              <w:rPr>
                <w:rFonts w:ascii="Arial" w:cs="Arial" w:eastAsia="Arial" w:hAnsi="Arial"/>
                <w:sz w:val="12"/>
                <w:szCs w:val="12"/>
                <w:color w:val="auto"/>
                <w:vertAlign w:val="superscript"/>
              </w:rPr>
              <w:t>1)</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96,734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66,156</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77,811</w:t>
            </w:r>
          </w:p>
        </w:tc>
      </w:tr>
      <w:tr>
        <w:trPr>
          <w:trHeight w:val="135"/>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operating income</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4,248,050</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2,252,039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1,268,594</w:t>
            </w:r>
          </w:p>
        </w:tc>
      </w:tr>
      <w:tr>
        <w:trPr>
          <w:trHeight w:val="144"/>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Cost of sales</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(450,665)</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(227,289)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(117,835)</w:t>
            </w:r>
          </w:p>
        </w:tc>
      </w:tr>
      <w:tr>
        <w:trPr>
          <w:trHeight w:val="132"/>
        </w:trPr>
        <w:tc>
          <w:tcPr>
            <w:tcW w:w="7040" w:type="dxa"/>
            <w:vAlign w:val="bottom"/>
            <w:gridSpan w:val="2"/>
          </w:tcPr>
          <w:p>
            <w:pPr>
              <w:ind w:left="20"/>
              <w:spacing w:after="0"/>
              <w:rPr>
                <w:sz w:val="20"/>
                <w:szCs w:val="20"/>
                <w:color w:val="auto"/>
              </w:rPr>
            </w:pPr>
            <w:r>
              <w:rPr>
                <w:rFonts w:ascii="Arial" w:cs="Arial" w:eastAsia="Arial" w:hAnsi="Arial"/>
                <w:sz w:val="10"/>
                <w:szCs w:val="10"/>
                <w:color w:val="auto"/>
              </w:rPr>
              <w:t>Research and development expenses</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(1,364,132)</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(983,423)</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(859,492)</w:t>
            </w:r>
          </w:p>
        </w:tc>
      </w:tr>
      <w:tr>
        <w:trPr>
          <w:trHeight w:val="13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(1,367,057)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(1,055,337)</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(711,905)</w:t>
            </w:r>
          </w:p>
        </w:tc>
      </w:tr>
      <w:tr>
        <w:trPr>
          <w:trHeight w:val="132"/>
        </w:trPr>
        <w:tc>
          <w:tcPr>
            <w:tcW w:w="7040" w:type="dxa"/>
            <w:vAlign w:val="bottom"/>
            <w:gridSpan w:val="2"/>
          </w:tcPr>
          <w:p>
            <w:pPr>
              <w:ind w:left="20"/>
              <w:spacing w:after="0"/>
              <w:rPr>
                <w:sz w:val="20"/>
                <w:szCs w:val="20"/>
                <w:color w:val="auto"/>
              </w:rPr>
            </w:pPr>
            <w:r>
              <w:rPr>
                <w:rFonts w:ascii="Arial" w:cs="Arial" w:eastAsia="Arial" w:hAnsi="Arial"/>
                <w:sz w:val="10"/>
                <w:szCs w:val="10"/>
                <w:color w:val="auto"/>
              </w:rPr>
              <w:t>Loss from investment in a joint venture</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(12,390)</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(7,644)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(4,411)</w:t>
            </w:r>
          </w:p>
        </w:tc>
      </w:tr>
      <w:tr>
        <w:trPr>
          <w:trHeight w:val="13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operating expenses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(3,194,244)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(2,273,693)</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(1,693,643)</w:t>
            </w:r>
          </w:p>
        </w:tc>
      </w:tr>
      <w:tr>
        <w:trPr>
          <w:trHeight w:val="144"/>
        </w:trPr>
        <w:tc>
          <w:tcPr>
            <w:tcW w:w="68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Operating profit/(loss)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1,053,806</w:t>
            </w:r>
          </w:p>
        </w:tc>
        <w:tc>
          <w:tcPr>
            <w:tcW w:w="2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(21,654)</w:t>
            </w:r>
          </w:p>
        </w:tc>
        <w:tc>
          <w:tcPr>
            <w:tcW w:w="20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(425,049)</w:t>
            </w:r>
          </w:p>
        </w:tc>
      </w:tr>
      <w:tr>
        <w:trPr>
          <w:trHeight w:val="125"/>
        </w:trPr>
        <w:tc>
          <w:tcPr>
            <w:tcW w:w="6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5"/>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Financial income</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163,091</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157,509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107,386</w:t>
            </w:r>
          </w:p>
        </w:tc>
      </w:tr>
      <w:tr>
        <w:trPr>
          <w:trHeight w:val="132"/>
        </w:trPr>
        <w:tc>
          <w:tcPr>
            <w:tcW w:w="7040" w:type="dxa"/>
            <w:vAlign w:val="bottom"/>
            <w:gridSpan w:val="2"/>
          </w:tcPr>
          <w:p>
            <w:pPr>
              <w:ind w:left="20"/>
              <w:spacing w:after="0"/>
              <w:rPr>
                <w:sz w:val="20"/>
                <w:szCs w:val="20"/>
                <w:color w:val="auto"/>
              </w:rPr>
            </w:pPr>
            <w:r>
              <w:rPr>
                <w:rFonts w:ascii="Arial" w:cs="Arial" w:eastAsia="Arial" w:hAnsi="Arial"/>
                <w:sz w:val="10"/>
                <w:szCs w:val="10"/>
                <w:color w:val="auto"/>
              </w:rPr>
              <w:t>Financial expense</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(4,082)</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(2,464)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(906)</w:t>
            </w:r>
          </w:p>
        </w:tc>
      </w:tr>
      <w:tr>
        <w:trPr>
          <w:trHeight w:val="13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Exchange gains/(losses)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65,792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(48,211)</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14,073</w:t>
            </w:r>
          </w:p>
        </w:tc>
      </w:tr>
      <w:tr>
        <w:trPr>
          <w:trHeight w:val="144"/>
        </w:trPr>
        <w:tc>
          <w:tcPr>
            <w:tcW w:w="68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24"/>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Profit/(Loss) for the year before taxes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1,278,607</w:t>
            </w:r>
          </w:p>
        </w:tc>
        <w:tc>
          <w:tcPr>
            <w:tcW w:w="2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85,180</w:t>
            </w:r>
          </w:p>
        </w:tc>
        <w:tc>
          <w:tcPr>
            <w:tcW w:w="20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(304,496)</w:t>
            </w:r>
          </w:p>
        </w:tc>
      </w:tr>
      <w:tr>
        <w:trPr>
          <w:trHeight w:val="121"/>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Income tax benefit</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13,428</w:t>
            </w: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747,860</w:t>
            </w:r>
          </w:p>
        </w:tc>
        <w:tc>
          <w:tcPr>
            <w:tcW w:w="2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9,443</w:t>
            </w:r>
          </w:p>
        </w:tc>
      </w:tr>
      <w:tr>
        <w:trPr>
          <w:trHeight w:val="147"/>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Profit/(Loss) for the year</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1,292,035</w:t>
            </w: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833,040</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(295,053)</w:t>
            </w:r>
          </w:p>
        </w:tc>
      </w:tr>
      <w:tr>
        <w:trPr>
          <w:trHeight w:val="112"/>
        </w:trPr>
        <w:tc>
          <w:tcPr>
            <w:tcW w:w="704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auto"/>
              </w:rPr>
              <w:t>Profit/(Loss) for the year attributable to:</w:t>
            </w: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3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Owners of the parent</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1,292,035</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833,040</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(295,053)</w:t>
            </w:r>
          </w:p>
        </w:tc>
      </w:tr>
      <w:tr>
        <w:trPr>
          <w:trHeight w:val="132"/>
        </w:trPr>
        <w:tc>
          <w:tcPr>
            <w:tcW w:w="7040" w:type="dxa"/>
            <w:vAlign w:val="bottom"/>
            <w:gridSpan w:val="2"/>
          </w:tcPr>
          <w:p>
            <w:pPr>
              <w:ind w:left="20"/>
              <w:spacing w:after="0"/>
              <w:rPr>
                <w:sz w:val="20"/>
                <w:szCs w:val="20"/>
                <w:color w:val="auto"/>
              </w:rPr>
            </w:pPr>
            <w:r>
              <w:rPr>
                <w:rFonts w:ascii="Arial" w:cs="Arial" w:eastAsia="Arial" w:hAnsi="Arial"/>
                <w:sz w:val="10"/>
                <w:szCs w:val="10"/>
                <w:color w:val="auto"/>
              </w:rPr>
              <w:t>Weighted average number of shares used for basic profit/(loss) per share</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61,295,149</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59,855,585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57,169,253</w:t>
            </w:r>
          </w:p>
        </w:tc>
      </w:tr>
      <w:tr>
        <w:trPr>
          <w:trHeight w:val="13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Basic profit/(loss) per share (in $)</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21.08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13.92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(5.16)</w:t>
            </w:r>
          </w:p>
        </w:tc>
      </w:tr>
      <w:tr>
        <w:trPr>
          <w:trHeight w:val="132"/>
        </w:trPr>
        <w:tc>
          <w:tcPr>
            <w:tcW w:w="7040" w:type="dxa"/>
            <w:vAlign w:val="bottom"/>
            <w:gridSpan w:val="2"/>
          </w:tcPr>
          <w:p>
            <w:pPr>
              <w:ind w:left="20"/>
              <w:spacing w:after="0"/>
              <w:rPr>
                <w:sz w:val="20"/>
                <w:szCs w:val="20"/>
                <w:color w:val="auto"/>
              </w:rPr>
            </w:pPr>
            <w:r>
              <w:rPr>
                <w:rFonts w:ascii="Arial" w:cs="Arial" w:eastAsia="Arial" w:hAnsi="Arial"/>
                <w:sz w:val="10"/>
                <w:szCs w:val="10"/>
                <w:color w:val="auto"/>
              </w:rPr>
              <w:t>Weighted average number of shares used for diluted profit/(loss) per share</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66,029,215</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65,177,815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57,169,253</w:t>
            </w:r>
          </w:p>
        </w:tc>
      </w:tr>
      <w:tr>
        <w:trPr>
          <w:trHeight w:val="13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Diluted profit/(loss) per share (in $)</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12.78</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(5.16)</w:t>
            </w:r>
          </w:p>
        </w:tc>
      </w:tr>
    </w:tbl>
    <w:p>
      <w:pPr>
        <w:spacing w:after="0" w:line="105" w:lineRule="exact"/>
        <w:rPr>
          <w:sz w:val="20"/>
          <w:szCs w:val="20"/>
          <w:color w:val="auto"/>
        </w:rPr>
      </w:pPr>
    </w:p>
    <w:p>
      <w:pPr>
        <w:ind w:left="420" w:hanging="212"/>
        <w:spacing w:after="0"/>
        <w:tabs>
          <w:tab w:leader="none" w:pos="420" w:val="left"/>
        </w:tabs>
        <w:numPr>
          <w:ilvl w:val="0"/>
          <w:numId w:val="9"/>
        </w:numPr>
        <w:rPr>
          <w:rFonts w:ascii="Arial" w:cs="Arial" w:eastAsia="Arial" w:hAnsi="Arial"/>
          <w:sz w:val="8"/>
          <w:szCs w:val="8"/>
          <w:color w:val="auto"/>
        </w:rPr>
      </w:pPr>
      <w:r>
        <w:rPr>
          <w:rFonts w:ascii="Arial" w:cs="Arial" w:eastAsia="Arial" w:hAnsi="Arial"/>
          <w:sz w:val="8"/>
          <w:szCs w:val="8"/>
          <w:color w:val="auto"/>
        </w:rPr>
        <w:t>Comparative figures have been aligned with the presentation adopted in the current period, reflecting the combination of collaboration revenue and other operating income.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ARGENX 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 CONSOLIDATED STATEMENTS OF COMPREHENSIVE INCOME OR LOSS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6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2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 of $)</w:t>
            </w: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2024</w:t>
            </w:r>
          </w:p>
        </w:tc>
        <w:tc>
          <w:tcPr>
            <w:tcW w:w="22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2023</w:t>
            </w:r>
          </w:p>
        </w:tc>
      </w:tr>
      <w:tr>
        <w:trPr>
          <w:trHeight w:val="12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Profit/(Loss) for the year</w:t>
            </w:r>
          </w:p>
        </w:tc>
        <w:tc>
          <w:tcPr>
            <w:tcW w:w="780" w:type="dxa"/>
            <w:vAlign w:val="bottom"/>
            <w:shd w:val="clear" w:color="auto" w:fill="CCEEFF"/>
          </w:tcPr>
          <w:p>
            <w:pPr>
              <w:jc w:val="right"/>
              <w:ind w:right="652"/>
              <w:spacing w:after="0"/>
              <w:rPr>
                <w:sz w:val="20"/>
                <w:szCs w:val="20"/>
                <w:color w:val="auto"/>
              </w:rPr>
            </w:pPr>
            <w:r>
              <w:rPr>
                <w:rFonts w:ascii="Arial" w:cs="Arial" w:eastAsia="Arial" w:hAnsi="Arial"/>
                <w:sz w:val="10"/>
                <w:szCs w:val="10"/>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98"/>
              </w:rPr>
              <w:t>1,292,035</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833,040</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(295,053)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714375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43750" cy="85725"/>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p>
      <w:pPr>
        <w:spacing w:after="0" w:line="148" w:lineRule="exact"/>
        <w:rPr>
          <w:sz w:val="20"/>
          <w:szCs w:val="20"/>
          <w:color w:val="auto"/>
        </w:rPr>
      </w:pPr>
    </w:p>
    <w:p>
      <w:pPr>
        <w:ind w:left="40"/>
        <w:spacing w:after="0"/>
        <w:rPr>
          <w:sz w:val="20"/>
          <w:szCs w:val="20"/>
          <w:color w:val="auto"/>
        </w:rPr>
      </w:pPr>
      <w:r>
        <w:rPr>
          <w:rFonts w:ascii="Arial" w:cs="Arial" w:eastAsia="Arial" w:hAnsi="Arial"/>
          <w:sz w:val="10"/>
          <w:szCs w:val="10"/>
          <w:color w:val="auto"/>
        </w:rPr>
        <w:t>Items that may be reclassified subsequently to profit or loss, net of tax</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0"/>
          <w:szCs w:val="10"/>
          <w:i w:val="1"/>
          <w:iCs w:val="1"/>
          <w:color w:val="auto"/>
        </w:rPr>
        <w:t>Currency translation differences, arisen from translating foreign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14375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43750" cy="8572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0"/>
          <w:szCs w:val="10"/>
          <w:color w:val="auto"/>
        </w:rPr>
        <w:t>Items that will not be reclassified subsequently to profit or loss, net of tax</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8"/>
          <w:szCs w:val="8"/>
          <w:i w:val="1"/>
          <w:iCs w:val="1"/>
          <w:color w:val="auto"/>
        </w:rPr>
        <w:t>Fair value (loss)/gain on investments in equity instruments designated as FVTOCI</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920" w:type="dxa"/>
            <w:vAlign w:val="bottom"/>
          </w:tcPr>
          <w:p>
            <w:pPr>
              <w:spacing w:after="0"/>
              <w:rPr>
                <w:sz w:val="20"/>
                <w:szCs w:val="20"/>
                <w:color w:val="auto"/>
              </w:rPr>
            </w:pPr>
            <w:r>
              <w:rPr>
                <w:rFonts w:ascii="Arial" w:cs="Arial" w:eastAsia="Arial" w:hAnsi="Arial"/>
                <w:sz w:val="10"/>
                <w:szCs w:val="10"/>
                <w:color w:val="auto"/>
              </w:rPr>
              <w:t>11,738</w:t>
            </w:r>
          </w:p>
        </w:tc>
        <w:tc>
          <w:tcPr>
            <w:tcW w:w="1480" w:type="dxa"/>
            <w:vAlign w:val="bottom"/>
          </w:tcPr>
          <w:p>
            <w:pPr>
              <w:jc w:val="right"/>
              <w:ind w:right="552"/>
              <w:spacing w:after="0"/>
              <w:rPr>
                <w:sz w:val="20"/>
                <w:szCs w:val="20"/>
                <w:color w:val="auto"/>
              </w:rPr>
            </w:pPr>
            <w:r>
              <w:rPr>
                <w:rFonts w:ascii="Arial" w:cs="Arial" w:eastAsia="Arial" w:hAnsi="Arial"/>
                <w:sz w:val="10"/>
                <w:szCs w:val="10"/>
                <w:color w:val="auto"/>
              </w:rPr>
              <w:t>(4,711)</w:t>
            </w:r>
          </w:p>
        </w:tc>
        <w:tc>
          <w:tcPr>
            <w:tcW w:w="900" w:type="dxa"/>
            <w:vAlign w:val="bottom"/>
          </w:tcPr>
          <w:p>
            <w:pPr>
              <w:jc w:val="right"/>
              <w:spacing w:after="0"/>
              <w:rPr>
                <w:sz w:val="20"/>
                <w:szCs w:val="20"/>
                <w:color w:val="auto"/>
              </w:rPr>
            </w:pPr>
            <w:r>
              <w:rPr>
                <w:rFonts w:ascii="Arial" w:cs="Arial" w:eastAsia="Arial" w:hAnsi="Arial"/>
                <w:sz w:val="10"/>
                <w:szCs w:val="10"/>
                <w:i w:val="1"/>
                <w:iCs w:val="1"/>
                <w:color w:val="auto"/>
              </w:rPr>
              <w:t>2,263</w:t>
            </w:r>
          </w:p>
        </w:tc>
      </w:tr>
      <w:tr>
        <w:trPr>
          <w:trHeight w:val="288"/>
        </w:trPr>
        <w:tc>
          <w:tcPr>
            <w:tcW w:w="920" w:type="dxa"/>
            <w:vAlign w:val="bottom"/>
          </w:tcPr>
          <w:p>
            <w:pPr>
              <w:ind w:left="20"/>
              <w:spacing w:after="0"/>
              <w:rPr>
                <w:sz w:val="20"/>
                <w:szCs w:val="20"/>
                <w:color w:val="auto"/>
              </w:rPr>
            </w:pPr>
            <w:r>
              <w:rPr>
                <w:rFonts w:ascii="Arial" w:cs="Arial" w:eastAsia="Arial" w:hAnsi="Arial"/>
                <w:sz w:val="10"/>
                <w:szCs w:val="10"/>
                <w:color w:val="auto"/>
              </w:rPr>
              <w:t>(4,858)</w:t>
            </w:r>
          </w:p>
        </w:tc>
        <w:tc>
          <w:tcPr>
            <w:tcW w:w="1480" w:type="dxa"/>
            <w:vAlign w:val="bottom"/>
          </w:tcPr>
          <w:p>
            <w:pPr>
              <w:jc w:val="right"/>
              <w:ind w:right="552"/>
              <w:spacing w:after="0"/>
              <w:rPr>
                <w:sz w:val="20"/>
                <w:szCs w:val="20"/>
                <w:color w:val="auto"/>
              </w:rPr>
            </w:pPr>
            <w:r>
              <w:rPr>
                <w:rFonts w:ascii="Arial" w:cs="Arial" w:eastAsia="Arial" w:hAnsi="Arial"/>
                <w:sz w:val="10"/>
                <w:szCs w:val="10"/>
                <w:color w:val="auto"/>
              </w:rPr>
              <w:t>(648)</w:t>
            </w:r>
          </w:p>
        </w:tc>
        <w:tc>
          <w:tcPr>
            <w:tcW w:w="900" w:type="dxa"/>
            <w:vAlign w:val="bottom"/>
          </w:tcPr>
          <w:p>
            <w:pPr>
              <w:jc w:val="right"/>
              <w:spacing w:after="0"/>
              <w:rPr>
                <w:sz w:val="20"/>
                <w:szCs w:val="20"/>
                <w:color w:val="auto"/>
              </w:rPr>
            </w:pPr>
            <w:r>
              <w:rPr>
                <w:rFonts w:ascii="Arial" w:cs="Arial" w:eastAsia="Arial" w:hAnsi="Arial"/>
                <w:sz w:val="10"/>
                <w:szCs w:val="10"/>
                <w:color w:val="auto"/>
              </w:rPr>
              <w:t>(1,915)</w:t>
            </w:r>
          </w:p>
        </w:tc>
      </w:tr>
    </w:tbl>
    <w:p>
      <w:pPr>
        <w:spacing w:after="0" w:line="20" w:lineRule="exact"/>
        <w:rPr>
          <w:sz w:val="20"/>
          <w:szCs w:val="20"/>
          <w:color w:val="auto"/>
        </w:rPr>
      </w:pPr>
    </w:p>
    <w:p>
      <w:pPr>
        <w:sectPr>
          <w:pgSz w:w="11900" w:h="16838" w:orient="portrait"/>
          <w:cols w:equalWidth="0" w:num="2">
            <w:col w:w="7240" w:space="720"/>
            <w:col w:w="3320"/>
          </w:cols>
          <w:pgMar w:left="300" w:top="563" w:right="319" w:bottom="1440" w:gutter="0" w:footer="0" w:header="0"/>
          <w:type w:val="continuous"/>
        </w:sectPr>
      </w:pPr>
    </w:p>
    <w:tbl>
      <w:tblPr>
        <w:tblLayout w:type="fixed"/>
        <w:tblInd w:w="20" w:type="dxa"/>
        <w:tblCellMar>
          <w:top w:w="0" w:type="dxa"/>
          <w:left w:w="0" w:type="dxa"/>
          <w:bottom w:w="0" w:type="dxa"/>
          <w:right w:w="0" w:type="dxa"/>
        </w:tblCellMar>
      </w:tblPr>
      <w:tr>
        <w:trPr>
          <w:trHeight w:val="130"/>
        </w:trPr>
        <w:tc>
          <w:tcPr>
            <w:tcW w:w="70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r>
      <w:tr>
        <w:trPr>
          <w:trHeight w:val="12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Other comprehensive profit/(loss), net of income tax</w:t>
            </w:r>
          </w:p>
        </w:tc>
        <w:tc>
          <w:tcPr>
            <w:tcW w:w="4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6,880</w:t>
            </w:r>
          </w:p>
        </w:tc>
        <w:tc>
          <w:tcPr>
            <w:tcW w:w="2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(5,359)</w:t>
            </w:r>
          </w:p>
        </w:tc>
        <w:tc>
          <w:tcPr>
            <w:tcW w:w="2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348</w:t>
            </w:r>
          </w:p>
        </w:tc>
      </w:tr>
      <w:tr>
        <w:trPr>
          <w:trHeight w:val="125"/>
        </w:trPr>
        <w:tc>
          <w:tcPr>
            <w:tcW w:w="70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4"/>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comprehensive profit/(loss) attributable to:</w:t>
            </w: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4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Owners of the parent</w:t>
            </w: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1,298,915</w:t>
            </w:r>
          </w:p>
        </w:tc>
        <w:tc>
          <w:tcPr>
            <w:tcW w:w="2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827,681</w:t>
            </w:r>
          </w:p>
        </w:tc>
        <w:tc>
          <w:tcPr>
            <w:tcW w:w="2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(294,705)</w:t>
            </w:r>
          </w:p>
        </w:tc>
      </w:tr>
    </w:tbl>
    <w:p>
      <w:pPr>
        <w:sectPr>
          <w:pgSz w:w="11900" w:h="16838" w:orient="portrait"/>
          <w:cols w:equalWidth="0" w:num="1">
            <w:col w:w="11280"/>
          </w:cols>
          <w:pgMar w:left="300" w:top="563"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1"/>
          <w:szCs w:val="11"/>
          <w:b w:val="1"/>
          <w:bCs w:val="1"/>
          <w:color w:val="auto"/>
        </w:rPr>
        <w:t>ARGENX 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 CONSOLIDATED STATEMENTS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12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 of $)</w:t>
            </w:r>
          </w:p>
        </w:tc>
        <w:tc>
          <w:tcPr>
            <w:tcW w:w="2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52"/>
              <w:spacing w:after="0" w:line="126" w:lineRule="exact"/>
              <w:rPr>
                <w:sz w:val="20"/>
                <w:szCs w:val="20"/>
                <w:color w:val="auto"/>
              </w:rPr>
            </w:pPr>
            <w:r>
              <w:rPr>
                <w:rFonts w:ascii="Arial" w:cs="Arial" w:eastAsia="Arial" w:hAnsi="Arial"/>
                <w:sz w:val="10"/>
                <w:szCs w:val="10"/>
                <w:b w:val="1"/>
                <w:bCs w:val="1"/>
                <w:color w:val="auto"/>
              </w:rPr>
              <w:t>2024</w:t>
            </w:r>
            <w:r>
              <w:rPr>
                <w:rFonts w:ascii="Arial" w:cs="Arial" w:eastAsia="Arial" w:hAnsi="Arial"/>
                <w:sz w:val="12"/>
                <w:szCs w:val="12"/>
                <w:b w:val="1"/>
                <w:bCs w:val="1"/>
                <w:color w:val="auto"/>
                <w:vertAlign w:val="superscript"/>
              </w:rPr>
              <w:t>1)</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52"/>
              <w:spacing w:after="0" w:line="126" w:lineRule="exact"/>
              <w:rPr>
                <w:sz w:val="20"/>
                <w:szCs w:val="20"/>
                <w:color w:val="auto"/>
              </w:rPr>
            </w:pPr>
            <w:r>
              <w:rPr>
                <w:rFonts w:ascii="Arial" w:cs="Arial" w:eastAsia="Arial" w:hAnsi="Arial"/>
                <w:sz w:val="10"/>
                <w:szCs w:val="10"/>
                <w:b w:val="1"/>
                <w:bCs w:val="1"/>
                <w:color w:val="auto"/>
              </w:rPr>
              <w:t>2023</w:t>
            </w:r>
            <w:r>
              <w:rPr>
                <w:rFonts w:ascii="Arial" w:cs="Arial" w:eastAsia="Arial" w:hAnsi="Arial"/>
                <w:sz w:val="12"/>
                <w:szCs w:val="12"/>
                <w:b w:val="1"/>
                <w:bCs w:val="1"/>
                <w:color w:val="auto"/>
                <w:vertAlign w:val="superscript"/>
              </w:rPr>
              <w:t>1)</w:t>
            </w:r>
          </w:p>
        </w:tc>
      </w:tr>
      <w:tr>
        <w:trPr>
          <w:trHeight w:val="12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Operating profit/(loss)</w:t>
            </w: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1,053,806</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(21,654)</w:t>
            </w: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(425,049)</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Adjustments for non-cash items</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Amortization of intangible assets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14,858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10,282</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105,674</w:t>
            </w: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Depreciation of property, plant and equipment</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13,244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7,245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5,633</w:t>
            </w: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Provisions for employee benefits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573</w:t>
            </w: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Expense recognized in respect of share-based payments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248,079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235,179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232,974</w:t>
            </w: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Fair value gains on financial assets at fair value through profit or loss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(11,581)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(3,834)</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Loss from investment in a joint venture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12,390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7,644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4,411</w:t>
            </w: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Other non-cash expenses/(benefit)</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31,628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2,074</w:t>
            </w:r>
          </w:p>
        </w:tc>
      </w:tr>
      <w:tr>
        <w:trPr>
          <w:trHeight w:val="134"/>
        </w:trPr>
        <w:tc>
          <w:tcPr>
            <w:tcW w:w="6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1,363,575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235,017</w:t>
            </w:r>
          </w:p>
        </w:tc>
        <w:tc>
          <w:tcPr>
            <w:tcW w:w="22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(73,710)</w:t>
            </w:r>
          </w:p>
        </w:tc>
      </w:tr>
      <w:tr>
        <w:trPr>
          <w:trHeight w:val="13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Movements in current assets/liabilities</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(Increase)/decrease in trade and other receivables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(802,327)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(423,112)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(185,694)</w:t>
            </w: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(Increase)/decrease in inventories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(98,952)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(95,996)</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(83,030)</w:t>
            </w: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(Increase)/decrease in current prepaid expenses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(139,992)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(54,113)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(58,081)</w:t>
            </w:r>
          </w:p>
        </w:tc>
      </w:tr>
      <w:tr>
        <w:trPr>
          <w:trHeight w:val="15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(Increase)/decrease in other current assets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(943)</w:t>
            </w:r>
          </w:p>
        </w:tc>
      </w:tr>
      <w:tr>
        <w:trPr>
          <w:trHeight w:val="150"/>
        </w:trPr>
        <w:tc>
          <w:tcPr>
            <w:tcW w:w="7000" w:type="dxa"/>
            <w:vAlign w:val="bottom"/>
            <w:gridSpan w:val="2"/>
          </w:tcPr>
          <w:p>
            <w:pPr>
              <w:ind w:left="220"/>
              <w:spacing w:after="0"/>
              <w:rPr>
                <w:sz w:val="20"/>
                <w:szCs w:val="20"/>
                <w:color w:val="auto"/>
              </w:rPr>
            </w:pPr>
            <w:r>
              <w:rPr>
                <w:rFonts w:ascii="Arial" w:cs="Arial" w:eastAsia="Arial" w:hAnsi="Arial"/>
                <w:sz w:val="10"/>
                <w:szCs w:val="10"/>
                <w:color w:val="auto"/>
              </w:rPr>
              <w:t>Increase/(decrease) in trade and other payables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612,328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246,336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95,600</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Movements in non-current assets/liabilities</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53"/>
        </w:trPr>
        <w:tc>
          <w:tcPr>
            <w:tcW w:w="7000" w:type="dxa"/>
            <w:vAlign w:val="bottom"/>
            <w:gridSpan w:val="2"/>
          </w:tcPr>
          <w:p>
            <w:pPr>
              <w:ind w:left="220"/>
              <w:spacing w:after="0" w:line="115" w:lineRule="exact"/>
              <w:rPr>
                <w:sz w:val="20"/>
                <w:szCs w:val="20"/>
                <w:color w:val="auto"/>
              </w:rPr>
            </w:pPr>
            <w:r>
              <w:rPr>
                <w:rFonts w:ascii="Arial" w:cs="Arial" w:eastAsia="Arial" w:hAnsi="Arial"/>
                <w:sz w:val="10"/>
                <w:szCs w:val="10"/>
                <w:color w:val="auto"/>
              </w:rPr>
              <w:t>(Increase)/decrease in other non</w:t>
            </w:r>
            <w:r>
              <w:rPr>
                <w:rFonts w:ascii="MS PGothic" w:cs="MS PGothic" w:eastAsia="MS PGothic" w:hAnsi="MS PGothic"/>
                <w:sz w:val="10"/>
                <w:szCs w:val="10"/>
                <w:color w:val="auto"/>
              </w:rPr>
              <w:t>‑</w:t>
            </w:r>
            <w:r>
              <w:rPr>
                <w:rFonts w:ascii="Arial" w:cs="Arial" w:eastAsia="Arial" w:hAnsi="Arial"/>
                <w:sz w:val="10"/>
                <w:szCs w:val="10"/>
                <w:color w:val="auto"/>
              </w:rPr>
              <w:t>current assets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14,224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(19,930)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(29,416)</w:t>
            </w:r>
          </w:p>
        </w:tc>
      </w:tr>
      <w:tr>
        <w:trPr>
          <w:trHeight w:val="153"/>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(Increase)/decrease in non-current prepaid expense</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23,683</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(47,327)</w:t>
            </w:r>
          </w:p>
        </w:tc>
      </w:tr>
      <w:tr>
        <w:trPr>
          <w:trHeight w:val="144"/>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Net cash flows from/(used) in operating activities, before interest and taxes</w:t>
            </w: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940,947</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(90,156)</w:t>
            </w:r>
          </w:p>
        </w:tc>
        <w:tc>
          <w:tcPr>
            <w:tcW w:w="2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(382,601)</w:t>
            </w:r>
          </w:p>
        </w:tc>
      </w:tr>
      <w:tr>
        <w:trPr>
          <w:trHeight w:val="125"/>
        </w:trPr>
        <w:tc>
          <w:tcPr>
            <w:tcW w:w="6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Interest paid</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(392)</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Income taxes (paid)/received</w:t>
            </w: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(254,855)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7,801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(37,515)</w:t>
            </w:r>
          </w:p>
        </w:tc>
      </w:tr>
      <w:tr>
        <w:trPr>
          <w:trHeight w:val="147"/>
        </w:trPr>
        <w:tc>
          <w:tcPr>
            <w:tcW w:w="6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r>
      <w:tr>
        <w:trPr>
          <w:trHeight w:val="1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Net cash flows from/(used) in operating activities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685,192</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(82,747)</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(420,327)</w:t>
            </w:r>
          </w:p>
        </w:tc>
      </w:tr>
      <w:tr>
        <w:trPr>
          <w:trHeight w:val="125"/>
        </w:trPr>
        <w:tc>
          <w:tcPr>
            <w:tcW w:w="6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Purchase of intangible assets</w:t>
            </w: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(105,515)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(66,500)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(43,000)</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Purchase of property, plant and equipment</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(6,165)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(812)</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Purchase of current financial assets</w:t>
            </w: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(1,448,930)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(2,183,542)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(1,271,730)</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Sale of current financial assets</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2,388,445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1,429,600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1,543,999</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Interest received</w:t>
            </w: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162,670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111,649</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92,753</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Investment in a joint venture</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(13,000)</w:t>
            </w:r>
          </w:p>
        </w:tc>
      </w:tr>
      <w:tr>
        <w:trPr>
          <w:trHeight w:val="144"/>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Net cash flows from/(used in) investing activities</w:t>
            </w: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984,005</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(717,594)</w:t>
            </w:r>
          </w:p>
        </w:tc>
        <w:tc>
          <w:tcPr>
            <w:tcW w:w="2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308,210</w:t>
            </w:r>
          </w:p>
        </w:tc>
      </w:tr>
      <w:tr>
        <w:trPr>
          <w:trHeight w:val="125"/>
        </w:trPr>
        <w:tc>
          <w:tcPr>
            <w:tcW w:w="6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Principal elements of lease payments</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(4,107)</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(7,638)</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(3,801)</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Proceeds from issue of new shares, gross amount</w:t>
            </w:r>
          </w:p>
        </w:tc>
        <w:tc>
          <w:tcPr>
            <w:tcW w:w="30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1,196,731</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Issue costs paid</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Exchange (losses)/gains from currency conversion on proceeds from issue of new shares</w:t>
            </w:r>
          </w:p>
        </w:tc>
        <w:tc>
          <w:tcPr>
            <w:tcW w:w="30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(1,507)</w:t>
            </w:r>
          </w:p>
        </w:tc>
      </w:tr>
      <w:tr>
        <w:trPr>
          <w:trHeight w:val="138"/>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Payment of employee withholding taxes relating to restricted stock unit awards</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(41,258)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(21,868)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(12,138)</w:t>
            </w:r>
          </w:p>
        </w:tc>
      </w:tr>
      <w:tr>
        <w:trPr>
          <w:trHeight w:val="132"/>
        </w:trPr>
        <w:tc>
          <w:tcPr>
            <w:tcW w:w="7000" w:type="dxa"/>
            <w:vAlign w:val="bottom"/>
            <w:gridSpan w:val="2"/>
          </w:tcPr>
          <w:p>
            <w:pPr>
              <w:ind w:left="20"/>
              <w:spacing w:after="0"/>
              <w:rPr>
                <w:sz w:val="20"/>
                <w:szCs w:val="20"/>
                <w:color w:val="auto"/>
              </w:rPr>
            </w:pPr>
            <w:r>
              <w:rPr>
                <w:rFonts w:ascii="Arial" w:cs="Arial" w:eastAsia="Arial" w:hAnsi="Arial"/>
                <w:sz w:val="10"/>
                <w:szCs w:val="10"/>
                <w:color w:val="auto"/>
              </w:rPr>
              <w:t>Proceeds from exercise of stock options</w:t>
            </w: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278,375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309,265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158,263</w:t>
            </w:r>
          </w:p>
        </w:tc>
      </w:tr>
      <w:tr>
        <w:trPr>
          <w:trHeight w:val="147"/>
        </w:trPr>
        <w:tc>
          <w:tcPr>
            <w:tcW w:w="6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r>
      <w:tr>
        <w:trPr>
          <w:trHeight w:val="1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Net cash flows from financing activities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233,010</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279,759</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1,336,727</w:t>
            </w:r>
          </w:p>
        </w:tc>
      </w:tr>
      <w:tr>
        <w:trPr>
          <w:trHeight w:val="125"/>
        </w:trPr>
        <w:tc>
          <w:tcPr>
            <w:tcW w:w="6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r>
        <w:trPr>
          <w:trHeight w:val="1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Increase/(decrease) in cash and cash equivalents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1,902,207</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(520,582)</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1,224,610</w:t>
            </w:r>
          </w:p>
        </w:tc>
      </w:tr>
      <w:tr>
        <w:trPr>
          <w:trHeight w:val="125"/>
        </w:trPr>
        <w:tc>
          <w:tcPr>
            <w:tcW w:w="6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r>
        <w:trPr>
          <w:trHeight w:val="1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Cash and cash equivalents at the beginning of the year</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1,499,936</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2,048,844</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800,740</w:t>
            </w:r>
          </w:p>
        </w:tc>
      </w:tr>
      <w:tr>
        <w:trPr>
          <w:trHeight w:val="122"/>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Exchange gains/(losses) on cash and cash equivalents</w:t>
            </w: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89,146</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(28,326)</w:t>
            </w:r>
          </w:p>
        </w:tc>
        <w:tc>
          <w:tcPr>
            <w:tcW w:w="2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23,494</w:t>
            </w:r>
          </w:p>
        </w:tc>
      </w:tr>
      <w:tr>
        <w:trPr>
          <w:trHeight w:val="127"/>
        </w:trPr>
        <w:tc>
          <w:tcPr>
            <w:tcW w:w="700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and cash equivalents at the end of the year</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3,491,289</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1,499,936</w:t>
            </w:r>
          </w:p>
        </w:tc>
        <w:tc>
          <w:tcPr>
            <w:tcW w:w="22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2,048,844</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420" w:hanging="232"/>
        <w:spacing w:after="0"/>
        <w:tabs>
          <w:tab w:leader="none" w:pos="420" w:val="left"/>
        </w:tabs>
        <w:numPr>
          <w:ilvl w:val="0"/>
          <w:numId w:val="10"/>
        </w:numPr>
        <w:rPr>
          <w:rFonts w:ascii="Arial" w:cs="Arial" w:eastAsia="Arial" w:hAnsi="Arial"/>
          <w:sz w:val="8"/>
          <w:szCs w:val="8"/>
          <w:color w:val="auto"/>
        </w:rPr>
      </w:pPr>
      <w:r>
        <w:rPr>
          <w:rFonts w:ascii="Arial" w:cs="Arial" w:eastAsia="Arial" w:hAnsi="Arial"/>
          <w:sz w:val="8"/>
          <w:szCs w:val="8"/>
          <w:color w:val="auto"/>
        </w:rPr>
        <w:t>Comparative figures have been aligned to the presentation adopted in the current year.</w:t>
      </w:r>
    </w:p>
    <w:p>
      <w:pPr>
        <w:sectPr>
          <w:pgSz w:w="11900" w:h="16838" w:orient="portrait"/>
          <w:cols w:equalWidth="0" w:num="1">
            <w:col w:w="11240"/>
          </w:cols>
          <w:pgMar w:left="320" w:top="563"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1"/>
          <w:szCs w:val="11"/>
          <w:b w:val="1"/>
          <w:bCs w:val="1"/>
          <w:color w:val="auto"/>
        </w:rPr>
        <w:t>ARGENX SE</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UNAUDITED CONSOLIDATED STATEMENTS OF CHANGES IN EQUITY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7"/>
                <w:szCs w:val="7"/>
                <w:b w:val="1"/>
                <w:bCs w:val="1"/>
                <w:color w:val="auto"/>
              </w:rPr>
              <w:t>Attributable to owners of the parent</w:t>
            </w: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7"/>
                <w:szCs w:val="7"/>
                <w:b w:val="1"/>
                <w:bCs w:val="1"/>
                <w:color w:val="auto"/>
              </w:rPr>
              <w:t>Share-based payment and</w:t>
            </w:r>
          </w:p>
        </w:tc>
        <w:tc>
          <w:tcPr>
            <w:tcW w:w="60" w:type="dxa"/>
            <w:vAlign w:val="bottom"/>
          </w:tcPr>
          <w:p>
            <w:pPr>
              <w:spacing w:after="0"/>
              <w:rPr>
                <w:sz w:val="8"/>
                <w:szCs w:val="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rPr>
              <w:t>Fair value movement on</w:t>
            </w: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rPr>
              <w:t>investment in equity</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7"/>
                <w:szCs w:val="7"/>
                <w:b w:val="1"/>
                <w:bCs w:val="1"/>
                <w:color w:val="auto"/>
              </w:rPr>
              <w:t>income tax deduction on</w:t>
            </w:r>
          </w:p>
        </w:tc>
        <w:tc>
          <w:tcPr>
            <w:tcW w:w="1120" w:type="dxa"/>
            <w:vAlign w:val="bottom"/>
            <w:gridSpan w:val="3"/>
          </w:tcPr>
          <w:p>
            <w:pPr>
              <w:ind w:left="20"/>
              <w:spacing w:after="0"/>
              <w:rPr>
                <w:sz w:val="20"/>
                <w:szCs w:val="20"/>
                <w:color w:val="auto"/>
              </w:rPr>
            </w:pPr>
            <w:r>
              <w:rPr>
                <w:rFonts w:ascii="Arial" w:cs="Arial" w:eastAsia="Arial" w:hAnsi="Arial"/>
                <w:sz w:val="7"/>
                <w:szCs w:val="7"/>
                <w:b w:val="1"/>
                <w:bCs w:val="1"/>
                <w:color w:val="auto"/>
              </w:rPr>
              <w:t>instruments designated as</w:t>
            </w:r>
          </w:p>
        </w:tc>
        <w:tc>
          <w:tcPr>
            <w:tcW w:w="126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equity attributable to</w:t>
            </w: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30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(in thousands of $)</w:t>
            </w: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7"/>
                <w:szCs w:val="7"/>
                <w:b w:val="1"/>
                <w:bCs w:val="1"/>
                <w:color w:val="auto"/>
              </w:rPr>
              <w:t>Share capital</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b w:val="1"/>
                <w:bCs w:val="1"/>
                <w:color w:val="auto"/>
              </w:rPr>
              <w:t>Share premium</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Accumulated losses</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Translation differences</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7"/>
                <w:szCs w:val="7"/>
                <w:b w:val="1"/>
                <w:bCs w:val="1"/>
                <w:color w:val="auto"/>
              </w:rPr>
              <w:t>share-based payments</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7"/>
                <w:szCs w:val="7"/>
                <w:b w:val="1"/>
                <w:bCs w:val="1"/>
                <w:color w:val="auto"/>
              </w:rPr>
              <w:t>at FVTOCI</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owners of the parent</w:t>
            </w:r>
          </w:p>
        </w:tc>
        <w:tc>
          <w:tcPr>
            <w:tcW w:w="1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7"/>
                <w:szCs w:val="7"/>
                <w:b w:val="1"/>
                <w:bCs w:val="1"/>
                <w:color w:val="auto"/>
              </w:rPr>
              <w:t>Total equity</w:t>
            </w:r>
          </w:p>
        </w:tc>
        <w:tc>
          <w:tcPr>
            <w:tcW w:w="0" w:type="dxa"/>
            <w:vAlign w:val="bottom"/>
          </w:tcPr>
          <w:p>
            <w:pPr>
              <w:spacing w:after="0"/>
              <w:rPr>
                <w:sz w:val="1"/>
                <w:szCs w:val="1"/>
                <w:color w:val="auto"/>
              </w:rPr>
            </w:pPr>
          </w:p>
        </w:tc>
      </w:tr>
      <w:tr>
        <w:trPr>
          <w:trHeight w:val="136"/>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b w:val="1"/>
                <w:bCs w:val="1"/>
                <w:color w:val="auto"/>
              </w:rPr>
              <w:t>Balance on January 1, 2023</w:t>
            </w: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6,640</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4,309,880</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(2,109,791)</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129,280</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535,247</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(57,557)</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2,813,699</w:t>
            </w:r>
          </w:p>
        </w:tc>
        <w:tc>
          <w:tcPr>
            <w:tcW w:w="18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2,813,699</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Loss for the year</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(295,053)</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(295,053)</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(295,053)</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Other comprehensive income/(loss)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jc w:val="right"/>
              <w:ind w:right="4"/>
              <w:spacing w:after="0"/>
              <w:rPr>
                <w:sz w:val="20"/>
                <w:szCs w:val="20"/>
                <w:color w:val="auto"/>
              </w:rPr>
            </w:pPr>
            <w:r>
              <w:rPr>
                <w:rFonts w:ascii="Arial" w:cs="Arial" w:eastAsia="Arial" w:hAnsi="Arial"/>
                <w:sz w:val="7"/>
                <w:szCs w:val="7"/>
                <w:color w:val="auto"/>
              </w:rPr>
              <w:t>2,263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7"/>
                <w:szCs w:val="7"/>
                <w:color w:val="auto"/>
              </w:rPr>
              <w:t>(1,915)</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348</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348</w:t>
            </w:r>
          </w:p>
        </w:tc>
        <w:tc>
          <w:tcPr>
            <w:tcW w:w="0" w:type="dxa"/>
            <w:vAlign w:val="bottom"/>
          </w:tcPr>
          <w:p>
            <w:pPr>
              <w:spacing w:after="0"/>
              <w:rPr>
                <w:sz w:val="1"/>
                <w:szCs w:val="1"/>
                <w:color w:val="auto"/>
              </w:rPr>
            </w:pPr>
          </w:p>
        </w:tc>
      </w:tr>
      <w:tr>
        <w:trPr>
          <w:trHeight w:val="2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b w:val="1"/>
                <w:bCs w:val="1"/>
                <w:color w:val="auto"/>
              </w:rPr>
              <w:t>Total comprehensive income/(loss) for the year</w:t>
            </w:r>
          </w:p>
        </w:tc>
        <w:tc>
          <w:tcPr>
            <w:tcW w:w="1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(295,053)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2,263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(1,915)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(294,705)</w:t>
            </w: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(294,705)</w:t>
            </w: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20"/>
                <w:szCs w:val="20"/>
                <w:color w:val="auto"/>
              </w:rPr>
            </w:pPr>
            <w:r>
              <w:rPr>
                <w:rFonts w:ascii="Arial" w:cs="Arial" w:eastAsia="Arial" w:hAnsi="Arial"/>
                <w:sz w:val="7"/>
                <w:szCs w:val="7"/>
                <w:color w:val="auto"/>
              </w:rPr>
              <w:t>Income tax benefit from excess tax deductions related to share-based</w:t>
            </w:r>
          </w:p>
        </w:tc>
        <w:tc>
          <w:tcPr>
            <w:tcW w:w="1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2,310</w:t>
            </w: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2,310</w:t>
            </w: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2,310</w:t>
            </w:r>
          </w:p>
        </w:tc>
        <w:tc>
          <w:tcPr>
            <w:tcW w:w="0" w:type="dxa"/>
            <w:vAlign w:val="bottom"/>
          </w:tcPr>
          <w:p>
            <w:pPr>
              <w:spacing w:after="0"/>
              <w:rPr>
                <w:sz w:val="1"/>
                <w:szCs w:val="1"/>
                <w:color w:val="auto"/>
              </w:rPr>
            </w:pPr>
          </w:p>
        </w:tc>
      </w:tr>
      <w:tr>
        <w:trPr>
          <w:trHeight w:val="100"/>
        </w:trPr>
        <w:tc>
          <w:tcPr>
            <w:tcW w:w="2460" w:type="dxa"/>
            <w:vAlign w:val="bottom"/>
            <w:gridSpan w:val="2"/>
          </w:tcPr>
          <w:p>
            <w:pPr>
              <w:spacing w:after="0"/>
              <w:rPr>
                <w:sz w:val="20"/>
                <w:szCs w:val="20"/>
                <w:color w:val="auto"/>
              </w:rPr>
            </w:pPr>
            <w:r>
              <w:rPr>
                <w:rFonts w:ascii="Arial" w:cs="Arial" w:eastAsia="Arial" w:hAnsi="Arial"/>
                <w:sz w:val="7"/>
                <w:szCs w:val="7"/>
                <w:color w:val="auto"/>
              </w:rPr>
              <w:t>payments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Share-based payment</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234,168</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234,168</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234,168</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Issue of share capital</w:t>
            </w:r>
          </w:p>
        </w:tc>
        <w:tc>
          <w:tcPr>
            <w:tcW w:w="16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288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1,196,444</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1,196,732</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1,196,732</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Transaction costs for equity issue</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(821)</w:t>
            </w: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(821)</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(821)</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Exercise of stock options</w:t>
            </w:r>
          </w:p>
        </w:tc>
        <w:tc>
          <w:tcPr>
            <w:tcW w:w="16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130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158,133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158,263</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158,263</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Ordinary shares withheld for payment of employees’ withholding tax</w:t>
            </w: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(12,139)</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(12,139)</w:t>
            </w:r>
          </w:p>
        </w:tc>
        <w:tc>
          <w:tcPr>
            <w:tcW w:w="18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(12,139)</w:t>
            </w:r>
          </w:p>
        </w:tc>
        <w:tc>
          <w:tcPr>
            <w:tcW w:w="0" w:type="dxa"/>
            <w:vAlign w:val="bottom"/>
          </w:tcPr>
          <w:p>
            <w:pPr>
              <w:spacing w:after="0"/>
              <w:rPr>
                <w:sz w:val="1"/>
                <w:szCs w:val="1"/>
                <w:color w:val="auto"/>
              </w:rPr>
            </w:pPr>
          </w:p>
        </w:tc>
      </w:tr>
      <w:tr>
        <w:trPr>
          <w:trHeight w:val="107"/>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liability</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b w:val="1"/>
                <w:bCs w:val="1"/>
                <w:color w:val="auto"/>
              </w:rPr>
              <w:t>Balance on December 31, 2023</w:t>
            </w: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7,058</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5,651,497</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(2,404,844)</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131,543</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771,725</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(59,472)</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4,097,507</w:t>
            </w:r>
          </w:p>
        </w:tc>
        <w:tc>
          <w:tcPr>
            <w:tcW w:w="18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4,097,507</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Profit for the year</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833,040</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833,040</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833,040</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Other comprehensive loss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7"/>
                <w:szCs w:val="7"/>
                <w:color w:val="auto"/>
              </w:rPr>
              <w:t>(4,711)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7"/>
                <w:szCs w:val="7"/>
                <w:color w:val="auto"/>
              </w:rPr>
              <w:t>(648)</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7"/>
                <w:szCs w:val="7"/>
                <w:color w:val="auto"/>
              </w:rPr>
              <w:t>(5,359)</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(5,359)</w:t>
            </w:r>
          </w:p>
        </w:tc>
        <w:tc>
          <w:tcPr>
            <w:tcW w:w="0" w:type="dxa"/>
            <w:vAlign w:val="bottom"/>
          </w:tcPr>
          <w:p>
            <w:pPr>
              <w:spacing w:after="0"/>
              <w:rPr>
                <w:sz w:val="1"/>
                <w:szCs w:val="1"/>
                <w:color w:val="auto"/>
              </w:rPr>
            </w:pPr>
          </w:p>
        </w:tc>
      </w:tr>
      <w:tr>
        <w:trPr>
          <w:trHeight w:val="2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b w:val="1"/>
                <w:bCs w:val="1"/>
                <w:color w:val="auto"/>
              </w:rPr>
              <w:t>Total comprehensive income/(loss) for the year</w:t>
            </w:r>
          </w:p>
        </w:tc>
        <w:tc>
          <w:tcPr>
            <w:tcW w:w="1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833,040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(4,711)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(648)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827,681</w:t>
            </w: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827,681</w:t>
            </w: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20"/>
                <w:szCs w:val="20"/>
                <w:color w:val="auto"/>
              </w:rPr>
            </w:pPr>
            <w:r>
              <w:rPr>
                <w:rFonts w:ascii="Arial" w:cs="Arial" w:eastAsia="Arial" w:hAnsi="Arial"/>
                <w:sz w:val="7"/>
                <w:szCs w:val="7"/>
                <w:color w:val="auto"/>
              </w:rPr>
              <w:t>Income tax benefit from excess tax deductions related to share-based</w:t>
            </w:r>
          </w:p>
        </w:tc>
        <w:tc>
          <w:tcPr>
            <w:tcW w:w="1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39,650</w:t>
            </w: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39,650</w:t>
            </w: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39,650</w:t>
            </w:r>
          </w:p>
        </w:tc>
        <w:tc>
          <w:tcPr>
            <w:tcW w:w="0" w:type="dxa"/>
            <w:vAlign w:val="bottom"/>
          </w:tcPr>
          <w:p>
            <w:pPr>
              <w:spacing w:after="0"/>
              <w:rPr>
                <w:sz w:val="1"/>
                <w:szCs w:val="1"/>
                <w:color w:val="auto"/>
              </w:rPr>
            </w:pPr>
          </w:p>
        </w:tc>
      </w:tr>
      <w:tr>
        <w:trPr>
          <w:trHeight w:val="100"/>
        </w:trPr>
        <w:tc>
          <w:tcPr>
            <w:tcW w:w="2460" w:type="dxa"/>
            <w:vAlign w:val="bottom"/>
            <w:gridSpan w:val="2"/>
          </w:tcPr>
          <w:p>
            <w:pPr>
              <w:spacing w:after="0"/>
              <w:rPr>
                <w:sz w:val="20"/>
                <w:szCs w:val="20"/>
                <w:color w:val="auto"/>
              </w:rPr>
            </w:pPr>
            <w:r>
              <w:rPr>
                <w:rFonts w:ascii="Arial" w:cs="Arial" w:eastAsia="Arial" w:hAnsi="Arial"/>
                <w:sz w:val="7"/>
                <w:szCs w:val="7"/>
                <w:color w:val="auto"/>
              </w:rPr>
              <w:t>payments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Share-based payment</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235,856</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235,856</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235,856</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Exercise of stock options</w:t>
            </w:r>
          </w:p>
        </w:tc>
        <w:tc>
          <w:tcPr>
            <w:tcW w:w="16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169</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319,288</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319,457</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319,457</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Ordinary shares withheld for payment of employees’ withholding tax</w:t>
            </w: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(21,869)</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(21,869)</w:t>
            </w:r>
          </w:p>
        </w:tc>
        <w:tc>
          <w:tcPr>
            <w:tcW w:w="18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(21,869)</w:t>
            </w:r>
          </w:p>
        </w:tc>
        <w:tc>
          <w:tcPr>
            <w:tcW w:w="0" w:type="dxa"/>
            <w:vAlign w:val="bottom"/>
          </w:tcPr>
          <w:p>
            <w:pPr>
              <w:spacing w:after="0"/>
              <w:rPr>
                <w:sz w:val="1"/>
                <w:szCs w:val="1"/>
                <w:color w:val="auto"/>
              </w:rPr>
            </w:pPr>
          </w:p>
        </w:tc>
      </w:tr>
      <w:tr>
        <w:trPr>
          <w:trHeight w:val="107"/>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liability</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b w:val="1"/>
                <w:bCs w:val="1"/>
                <w:color w:val="auto"/>
              </w:rPr>
              <w:t>Balance on December 31, 2024</w:t>
            </w: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7,227</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5,948,916</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(1,571,804)</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126,832</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1,047,231</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(60,119)</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5,498,283</w:t>
            </w:r>
          </w:p>
        </w:tc>
        <w:tc>
          <w:tcPr>
            <w:tcW w:w="18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5,498,283</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Profit for the year</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1,292,035</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1,292,035</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1,292,035</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Other comprehensive income/(loss)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jc w:val="right"/>
              <w:ind w:right="4"/>
              <w:spacing w:after="0"/>
              <w:rPr>
                <w:sz w:val="20"/>
                <w:szCs w:val="20"/>
                <w:color w:val="auto"/>
              </w:rPr>
            </w:pPr>
            <w:r>
              <w:rPr>
                <w:rFonts w:ascii="Arial" w:cs="Arial" w:eastAsia="Arial" w:hAnsi="Arial"/>
                <w:sz w:val="7"/>
                <w:szCs w:val="7"/>
                <w:color w:val="auto"/>
              </w:rPr>
              <w:t>11,738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7"/>
                <w:szCs w:val="7"/>
                <w:color w:val="auto"/>
              </w:rPr>
              <w:t>(4,858)</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6,880</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6,880</w:t>
            </w:r>
          </w:p>
        </w:tc>
        <w:tc>
          <w:tcPr>
            <w:tcW w:w="0" w:type="dxa"/>
            <w:vAlign w:val="bottom"/>
          </w:tcPr>
          <w:p>
            <w:pPr>
              <w:spacing w:after="0"/>
              <w:rPr>
                <w:sz w:val="1"/>
                <w:szCs w:val="1"/>
                <w:color w:val="auto"/>
              </w:rPr>
            </w:pPr>
          </w:p>
        </w:tc>
      </w:tr>
      <w:tr>
        <w:trPr>
          <w:trHeight w:val="2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b w:val="1"/>
                <w:bCs w:val="1"/>
                <w:color w:val="auto"/>
              </w:rPr>
              <w:t>Total comprehensive income/(loss) for the year</w:t>
            </w:r>
          </w:p>
        </w:tc>
        <w:tc>
          <w:tcPr>
            <w:tcW w:w="1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1,292,035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11,738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b w:val="1"/>
                <w:bCs w:val="1"/>
                <w:color w:val="auto"/>
              </w:rPr>
              <w:t>—</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(4,858)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1,298,915</w:t>
            </w: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1,298,915</w:t>
            </w: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20"/>
                <w:szCs w:val="20"/>
                <w:color w:val="auto"/>
              </w:rPr>
            </w:pPr>
            <w:r>
              <w:rPr>
                <w:rFonts w:ascii="Arial" w:cs="Arial" w:eastAsia="Arial" w:hAnsi="Arial"/>
                <w:sz w:val="7"/>
                <w:szCs w:val="7"/>
                <w:color w:val="auto"/>
              </w:rPr>
              <w:t>Income tax benefit from excess tax deductions related to share-based</w:t>
            </w:r>
          </w:p>
        </w:tc>
        <w:tc>
          <w:tcPr>
            <w:tcW w:w="1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38,780</w:t>
            </w: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38,780</w:t>
            </w: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7"/>
                <w:szCs w:val="7"/>
                <w:color w:val="auto"/>
              </w:rPr>
              <w:t>38,780</w:t>
            </w:r>
          </w:p>
        </w:tc>
        <w:tc>
          <w:tcPr>
            <w:tcW w:w="0" w:type="dxa"/>
            <w:vAlign w:val="bottom"/>
          </w:tcPr>
          <w:p>
            <w:pPr>
              <w:spacing w:after="0"/>
              <w:rPr>
                <w:sz w:val="1"/>
                <w:szCs w:val="1"/>
                <w:color w:val="auto"/>
              </w:rPr>
            </w:pPr>
          </w:p>
        </w:tc>
      </w:tr>
      <w:tr>
        <w:trPr>
          <w:trHeight w:val="100"/>
        </w:trPr>
        <w:tc>
          <w:tcPr>
            <w:tcW w:w="2460" w:type="dxa"/>
            <w:vAlign w:val="bottom"/>
            <w:gridSpan w:val="2"/>
          </w:tcPr>
          <w:p>
            <w:pPr>
              <w:spacing w:after="0"/>
              <w:rPr>
                <w:sz w:val="20"/>
                <w:szCs w:val="20"/>
                <w:color w:val="auto"/>
              </w:rPr>
            </w:pPr>
            <w:r>
              <w:rPr>
                <w:rFonts w:ascii="Arial" w:cs="Arial" w:eastAsia="Arial" w:hAnsi="Arial"/>
                <w:sz w:val="7"/>
                <w:szCs w:val="7"/>
                <w:color w:val="auto"/>
              </w:rPr>
              <w:t>payments</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color w:val="auto"/>
              </w:rPr>
              <w:t>Share-based payment</w:t>
            </w: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249,349</w:t>
            </w: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249,349</w:t>
            </w:r>
          </w:p>
        </w:tc>
        <w:tc>
          <w:tcPr>
            <w:tcW w:w="18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7"/>
                <w:szCs w:val="7"/>
                <w:color w:val="auto"/>
              </w:rPr>
              <w:t>249,349</w:t>
            </w:r>
          </w:p>
        </w:tc>
        <w:tc>
          <w:tcPr>
            <w:tcW w:w="0" w:type="dxa"/>
            <w:vAlign w:val="bottom"/>
          </w:tcPr>
          <w:p>
            <w:pPr>
              <w:spacing w:after="0"/>
              <w:rPr>
                <w:sz w:val="1"/>
                <w:szCs w:val="1"/>
                <w:color w:val="auto"/>
              </w:rPr>
            </w:pPr>
          </w:p>
        </w:tc>
      </w:tr>
      <w:tr>
        <w:trPr>
          <w:trHeight w:val="103"/>
        </w:trPr>
        <w:tc>
          <w:tcPr>
            <w:tcW w:w="2460" w:type="dxa"/>
            <w:vAlign w:val="bottom"/>
            <w:gridSpan w:val="2"/>
          </w:tcPr>
          <w:p>
            <w:pPr>
              <w:spacing w:after="0"/>
              <w:rPr>
                <w:sz w:val="20"/>
                <w:szCs w:val="20"/>
                <w:color w:val="auto"/>
              </w:rPr>
            </w:pPr>
            <w:r>
              <w:rPr>
                <w:rFonts w:ascii="Arial" w:cs="Arial" w:eastAsia="Arial" w:hAnsi="Arial"/>
                <w:sz w:val="7"/>
                <w:szCs w:val="7"/>
                <w:color w:val="auto"/>
              </w:rPr>
              <w:t>Exercise of stock options</w:t>
            </w:r>
          </w:p>
        </w:tc>
        <w:tc>
          <w:tcPr>
            <w:tcW w:w="16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127</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278,896</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4"/>
              <w:spacing w:after="0"/>
              <w:rPr>
                <w:sz w:val="20"/>
                <w:szCs w:val="20"/>
                <w:color w:val="auto"/>
              </w:rPr>
            </w:pPr>
            <w:r>
              <w:rPr>
                <w:rFonts w:ascii="Arial" w:cs="Arial" w:eastAsia="Arial" w:hAnsi="Arial"/>
                <w:sz w:val="7"/>
                <w:szCs w:val="7"/>
                <w:color w:val="auto"/>
              </w:rPr>
              <w:t>279,023</w:t>
            </w: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279,023</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Ordinary shares withheld for payment of employees’ withholding tax</w:t>
            </w: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(41,258)</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(41,258)</w:t>
            </w:r>
          </w:p>
        </w:tc>
        <w:tc>
          <w:tcPr>
            <w:tcW w:w="18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(41,258)</w:t>
            </w:r>
          </w:p>
        </w:tc>
        <w:tc>
          <w:tcPr>
            <w:tcW w:w="0" w:type="dxa"/>
            <w:vAlign w:val="bottom"/>
          </w:tcPr>
          <w:p>
            <w:pPr>
              <w:spacing w:after="0"/>
              <w:rPr>
                <w:sz w:val="1"/>
                <w:szCs w:val="1"/>
                <w:color w:val="auto"/>
              </w:rPr>
            </w:pPr>
          </w:p>
        </w:tc>
      </w:tr>
      <w:tr>
        <w:trPr>
          <w:trHeight w:val="107"/>
        </w:trPr>
        <w:tc>
          <w:tcPr>
            <w:tcW w:w="24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liability</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7"/>
                <w:szCs w:val="7"/>
                <w:b w:val="1"/>
                <w:bCs w:val="1"/>
                <w:color w:val="auto"/>
              </w:rPr>
              <w:t>Balance on December 31, 2025</w:t>
            </w: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7,354</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6,186,554</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(279,769)</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138,570</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7"/>
                <w:szCs w:val="7"/>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1,335,360</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b w:val="1"/>
                <w:bCs w:val="1"/>
                <w:color w:val="auto"/>
              </w:rPr>
              <w:t>(64,977)</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7,323,092</w:t>
            </w:r>
          </w:p>
        </w:tc>
        <w:tc>
          <w:tcPr>
            <w:tcW w:w="18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b w:val="1"/>
                <w:bCs w:val="1"/>
                <w:color w:val="auto"/>
              </w:rPr>
              <w:t>7,323,092</w:t>
            </w:r>
          </w:p>
        </w:tc>
        <w:tc>
          <w:tcPr>
            <w:tcW w:w="0" w:type="dxa"/>
            <w:vAlign w:val="bottom"/>
          </w:tcPr>
          <w:p>
            <w:pPr>
              <w:spacing w:after="0"/>
              <w:rPr>
                <w:sz w:val="1"/>
                <w:szCs w:val="1"/>
                <w:color w:val="auto"/>
              </w:rPr>
            </w:pPr>
          </w:p>
        </w:tc>
      </w:tr>
    </w:tbl>
    <w:p>
      <w:pPr>
        <w:sectPr>
          <w:pgSz w:w="11900" w:h="16838" w:orient="portrait"/>
          <w:cols w:equalWidth="0" w:num="1">
            <w:col w:w="11300"/>
          </w:cols>
          <w:pgMar w:left="300" w:top="473" w:right="29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17" Type="http://schemas.openxmlformats.org/officeDocument/2006/relationships/hyperlink" Target="https://www.sec.gov/Archives/edgar/data/1697862/000110465918037616/a18-14643_3s8.htm" TargetMode="External"/><Relationship Id="rId18" Type="http://schemas.openxmlformats.org/officeDocument/2006/relationships/hyperlink" Target="https://www.sec.gov/Archives/edgar/data/1697862/000110465921097298/tm2123453d1_s8.htm" TargetMode="External"/><Relationship Id="rId19"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2026-02-26T07:44:25Z</dcterms:created>
  <dcterms:modified xsi:type="dcterms:W3CDTF">2026-02-26T07:44:25Z</dcterms:modified>
</cp:coreProperties>
</file>