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3815d1_6k.htm"/>
      <w:bookmarkStart w:id="1" w:name="kstm261381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001-38097</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ARGENX SE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Laarderhoogtweg 25</w:t>
        <w:br/>
        <w:t>1101 EB Amsterdam, the Netherlands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argenx SE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a press release, a copy of which is attached hereto as Exhibit 99.1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 xml:space="preserve">The information contained in this Current Report on Form 6-K, including Exhibit 99.1, shall be deemed to be incorporated by reference into the Company’s Registration Statements on Forms S-8 (File Nos. </w:t>
      </w:r>
      <w:hyperlink r:id="rId2">
        <w:r>
          <w:rPr>
            <w:rStyle w:val="InternetLink"/>
            <w:rFonts w:ascii="Times New Roman;Times;Serif" w:hAnsi="Times New Roman;Times;Serif"/>
            <w:b w:val="false"/>
            <w:i/>
            <w:caps w:val="false"/>
            <w:smallCaps w:val="false"/>
            <w:sz w:val="20"/>
          </w:rPr>
          <w:t>333-225375</w:t>
        </w:r>
      </w:hyperlink>
      <w:r>
        <w:rPr>
          <w:rFonts w:ascii="Times New Roman;Times;Serif" w:hAnsi="Times New Roman;Times;Serif"/>
          <w:b w:val="false"/>
          <w:i/>
          <w:caps w:val="false"/>
          <w:smallCaps w:val="false"/>
          <w:sz w:val="20"/>
        </w:rPr>
        <w:t>, </w:t>
      </w:r>
      <w:hyperlink r:id="rId3">
        <w:r>
          <w:rPr>
            <w:rStyle w:val="InternetLink"/>
            <w:rFonts w:ascii="Times New Roman;Times;Serif" w:hAnsi="Times New Roman;Times;Serif"/>
            <w:b w:val="false"/>
            <w:i/>
            <w:caps w:val="false"/>
            <w:smallCaps w:val="false"/>
            <w:sz w:val="20"/>
          </w:rPr>
          <w:t>333-258253</w:t>
        </w:r>
      </w:hyperlink>
      <w:r>
        <w:rPr>
          <w:rFonts w:ascii="Times New Roman;Times;Serif" w:hAnsi="Times New Roman;Times;Serif"/>
          <w:b w:val="false"/>
          <w:i/>
          <w:caps w:val="false"/>
          <w:smallCaps w:val="false"/>
          <w:sz w:val="20"/>
        </w:rPr>
        <w:t xml:space="preserve">, </w:t>
      </w:r>
      <w:hyperlink r:id="rId4">
        <w:r>
          <w:rPr>
            <w:rStyle w:val="InternetLink"/>
            <w:rFonts w:ascii="Times New Roman;Times;Serif" w:hAnsi="Times New Roman;Times;Serif"/>
            <w:b w:val="false"/>
            <w:i/>
            <w:caps w:val="false"/>
            <w:smallCaps w:val="false"/>
            <w:sz w:val="20"/>
          </w:rPr>
          <w:t>333-274721</w:t>
        </w:r>
      </w:hyperlink>
      <w:r>
        <w:rPr>
          <w:rFonts w:ascii="Times New Roman;Times;Serif" w:hAnsi="Times New Roman;Times;Serif"/>
          <w:b w:val="false"/>
          <w:i/>
          <w:caps w:val="false"/>
          <w:smallCaps w:val="false"/>
          <w:sz w:val="20"/>
        </w:rPr>
        <w:t xml:space="preserve">, and </w:t>
      </w:r>
      <w:hyperlink r:id="rId5">
        <w:r>
          <w:rPr>
            <w:rStyle w:val="InternetLink"/>
            <w:rFonts w:ascii="Times New Roman;Times;Serif" w:hAnsi="Times New Roman;Times;Serif"/>
            <w:b w:val="false"/>
            <w:i/>
            <w:caps w:val="false"/>
            <w:smallCaps w:val="false"/>
            <w:sz w:val="20"/>
          </w:rPr>
          <w:t>333-292200</w:t>
        </w:r>
      </w:hyperlink>
      <w:r>
        <w:rPr>
          <w:rFonts w:ascii="Times New Roman;Times;Serif" w:hAnsi="Times New Roman;Times;Serif"/>
          <w:b w:val="false"/>
          <w:i/>
          <w:caps w:val="false"/>
          <w:smallCaps w:val="false"/>
          <w:sz w:val="20"/>
        </w:rPr>
        <w:t>), and to be part thereof from the date on which this Current Report on Form 6-K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28" w:type="dxa"/>
          <w:right w:w="0" w:type="dxa"/>
        </w:tblCellMar>
      </w:tblPr>
      <w:tblGrid>
        <w:gridCol w:w="665"/>
        <w:gridCol w:w="60"/>
        <w:gridCol w:w="2195"/>
      </w:tblGrid>
      <w:tr>
        <w:trPr/>
        <w:tc>
          <w:tcPr>
            <w:tcW w:w="665" w:type="dxa"/>
            <w:tcBorders>
              <w:bottom w:val="single" w:sz="8" w:space="0" w:color="000000"/>
            </w:tcBorders>
            <w:vAlign w:val="center"/>
          </w:tcPr>
          <w:p>
            <w:pPr>
              <w:pStyle w:val="TableContents"/>
              <w:bidi w:val="0"/>
              <w:spacing w:before="0" w:after="283"/>
              <w:jc w:val="left"/>
              <w:rPr>
                <w:b/>
                <w:sz w:val="20"/>
              </w:rPr>
            </w:pPr>
            <w:r>
              <w:rPr>
                <w:b/>
                <w:sz w:val="20"/>
              </w:rPr>
              <w:t>Exhibit</w:t>
            </w:r>
          </w:p>
        </w:tc>
        <w:tc>
          <w:tcPr>
            <w:tcW w:w="60" w:type="dxa"/>
            <w:tcBorders/>
            <w:tcMar>
              <w:bottom w:w="0" w:type="dxa"/>
            </w:tcMar>
            <w:vAlign w:val="center"/>
          </w:tcPr>
          <w:p>
            <w:pPr>
              <w:pStyle w:val="TableContents"/>
              <w:bidi w:val="0"/>
              <w:spacing w:before="0" w:after="283"/>
              <w:jc w:val="center"/>
              <w:rPr/>
            </w:pPr>
            <w:r>
              <w:rPr/>
              <w:t> </w:t>
            </w:r>
          </w:p>
        </w:tc>
        <w:tc>
          <w:tcPr>
            <w:tcW w:w="2195"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hyperlink w:anchor="tm2613815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left"/>
              <w:rPr/>
            </w:pPr>
            <w:hyperlink w:anchor="tm2613815d1_ex99-1.htm">
              <w:r>
                <w:rPr>
                  <w:rStyle w:val="InternetLink"/>
                  <w:sz w:val="20"/>
                </w:rPr>
                <w:t>Press Release May 6,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460" w:type="dxa"/>
        <w:jc w:val="left"/>
        <w:tblInd w:w="0" w:type="dxa"/>
        <w:tblLayout w:type="fixed"/>
        <w:tblCellMar>
          <w:top w:w="0" w:type="dxa"/>
          <w:left w:w="0" w:type="dxa"/>
          <w:bottom w:w="0" w:type="dxa"/>
          <w:right w:w="0" w:type="dxa"/>
        </w:tblCellMar>
      </w:tblPr>
      <w:tblGrid>
        <w:gridCol w:w="1550"/>
        <w:gridCol w:w="320"/>
        <w:gridCol w:w="3590"/>
      </w:tblGrid>
      <w:tr>
        <w:trPr/>
        <w:tc>
          <w:tcPr>
            <w:tcW w:w="1550"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b/>
                <w:sz w:val="20"/>
              </w:rPr>
            </w:pPr>
            <w:r>
              <w:rPr>
                <w:b/>
                <w:sz w:val="20"/>
              </w:rPr>
              <w:t>ARGENX SE</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sz w:val="20"/>
              </w:rPr>
            </w:pPr>
            <w:r>
              <w:rPr>
                <w:sz w:val="20"/>
              </w:rPr>
              <w:t>Date: May 6, 2026</w:t>
            </w:r>
          </w:p>
        </w:tc>
        <w:tc>
          <w:tcPr>
            <w:tcW w:w="320" w:type="dxa"/>
            <w:tcBorders/>
            <w:vAlign w:val="center"/>
          </w:tcPr>
          <w:p>
            <w:pPr>
              <w:pStyle w:val="TableContents"/>
              <w:bidi w:val="0"/>
              <w:spacing w:before="0" w:after="283"/>
              <w:jc w:val="left"/>
              <w:rPr>
                <w:sz w:val="20"/>
              </w:rPr>
            </w:pPr>
            <w:r>
              <w:rPr>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Hemamalini (Malini) Moorthy</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Name: Hemamalini (Malini) Moorthy</w:t>
            </w:r>
          </w:p>
        </w:tc>
      </w:tr>
      <w:tr>
        <w:trPr/>
        <w:tc>
          <w:tcPr>
            <w:tcW w:w="15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Title: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3815d1_ex99-1.htm"/>
      <w:bookmarkStart w:id="3" w:name="kstm2613815d1_ex991"/>
      <w:bookmarkEnd w:id="2"/>
      <w:bookmarkEnd w:id="3"/>
      <w:r>
        <w:rPr/>
        <w:t> </w:t>
      </w:r>
      <w:r>
        <w:br w:type="page"/>
      </w:r>
    </w:p>
    <w:p>
      <w:pPr>
        <w:pStyle w:val="TextBody"/>
        <w:bidi w:val="0"/>
        <w:jc w:val="right"/>
        <w:rPr>
          <w:b/>
        </w:rPr>
      </w:pPr>
      <w:r>
        <w:rPr>
          <w:b/>
        </w:rPr>
        <w:t>Exhibit 99.1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5621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562100" cy="571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argenx Announces Results of Annual General Meeting and Board of Directors’ Appointment of Karen Massey as Chief Executive Officer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Leadership transition marks next evolution of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6,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Amsterdam, the Netherlands – </w:t>
      </w:r>
      <w:r>
        <w:rPr>
          <w:rFonts w:ascii="Times New Roman;Times;Serif" w:hAnsi="Times New Roman;Times;Serif"/>
          <w:b w:val="false"/>
          <w:i w:val="false"/>
          <w:caps w:val="false"/>
          <w:smallCaps w:val="false"/>
          <w:sz w:val="20"/>
        </w:rPr>
        <w:t>argenx SE (Euronext &amp; Nasdaq: ARGX), a global immunology innovator committed to improving the lives of people suffering from severe autoimmune diseases, today announced the results of the Annual General Meeting of shareholders and the Board of Directors’ appointment of Karen Massey as Chief Executive Officer and Tim Van Hauwermeiren as Chairperson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Karen has earned the full confidence of the Board of Directors and our shareholders,” said Tim Van Hauwermeiren, Chair of the Board of Directors. “She is a proven leader who has played a central role in shaping argenx’s execution and long-term growth strategy. Karen leads with our responsibility to patients, the argenx culture, and a vision to continue to build our pipeline. I look forward to supporting Karen and the leadership team as argenx enters its next phase of growth.”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Karen Massey joined argenx in March 2023 as Chief Operating Officer and will succeed Tim Van Hauwermeiren, who co-founded argenx and has served as Chief Executive Officer since 2008. Her appointment by the Board of Directors as CEO follows shareholder approval of her appointment as executive director of the Board of Directors. The Board of Directors also appointed Tim Van Hauwermeiren as Chairperson of the Board of Directors, effective immediately, following his appointment as non-executive director to the Board of Directors at the General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 of the Company’s share capital was represented at the General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items on the agenda received the required majority of votes in favor for approval, including:</w:t>
      </w:r>
    </w:p>
    <w:tbl>
      <w:tblPr>
        <w:tblW w:w="5000" w:type="pct"/>
        <w:jc w:val="left"/>
        <w:tblInd w:w="0" w:type="dxa"/>
        <w:tblLayout w:type="fixed"/>
        <w:tblCellMar>
          <w:top w:w="0" w:type="dxa"/>
          <w:left w:w="0" w:type="dxa"/>
          <w:bottom w:w="0" w:type="dxa"/>
          <w:right w:w="0" w:type="dxa"/>
        </w:tblCellMar>
      </w:tblPr>
      <w:tblGrid>
        <w:gridCol w:w="117"/>
        <w:gridCol w:w="386"/>
        <w:gridCol w:w="9702"/>
      </w:tblGrid>
      <w:tr>
        <w:trPr/>
        <w:tc>
          <w:tcPr>
            <w:tcW w:w="11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rFonts w:ascii="Symbol" w:hAnsi="Symbol"/>
              </w:rPr>
            </w:pPr>
            <w:r>
              <w:rPr>
                <w:rFonts w:ascii="Symbol" w:hAnsi="Symbol"/>
              </w:rPr>
              <w:t>·</w:t>
            </w:r>
          </w:p>
        </w:tc>
        <w:tc>
          <w:tcPr>
            <w:tcW w:w="9702" w:type="dxa"/>
            <w:tcBorders/>
            <w:vAlign w:val="center"/>
          </w:tcPr>
          <w:p>
            <w:pPr>
              <w:pStyle w:val="TableContents"/>
              <w:bidi w:val="0"/>
              <w:spacing w:before="0" w:after="283"/>
              <w:jc w:val="both"/>
              <w:rPr/>
            </w:pPr>
            <w:r>
              <w:rPr/>
              <w:t>argenx 2025 remuneration report</w:t>
            </w:r>
          </w:p>
        </w:tc>
      </w:tr>
    </w:tbl>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both"/>
              <w:rPr/>
            </w:pPr>
            <w:r>
              <w:rPr/>
              <w:t>argenx annual report and annual accounts for the financial year ending December 31, 2025</w:t>
            </w:r>
          </w:p>
        </w:tc>
      </w:tr>
    </w:tbl>
    <w:tbl>
      <w:tblPr>
        <w:tblW w:w="5000" w:type="pct"/>
        <w:jc w:val="left"/>
        <w:tblInd w:w="0" w:type="dxa"/>
        <w:tblLayout w:type="fixed"/>
        <w:tblCellMar>
          <w:top w:w="0" w:type="dxa"/>
          <w:left w:w="0" w:type="dxa"/>
          <w:bottom w:w="0" w:type="dxa"/>
          <w:right w:w="0" w:type="dxa"/>
        </w:tblCellMar>
      </w:tblPr>
      <w:tblGrid>
        <w:gridCol w:w="60"/>
        <w:gridCol w:w="200"/>
        <w:gridCol w:w="9945"/>
      </w:tblGrid>
      <w:tr>
        <w:trPr/>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Symbol" w:hAnsi="Symbol"/>
              </w:rPr>
            </w:pPr>
            <w:r>
              <w:rPr>
                <w:rFonts w:ascii="Symbol" w:hAnsi="Symbol"/>
              </w:rPr>
              <w:t>·</w:t>
            </w:r>
          </w:p>
        </w:tc>
        <w:tc>
          <w:tcPr>
            <w:tcW w:w="9945" w:type="dxa"/>
            <w:tcBorders/>
            <w:vAlign w:val="center"/>
          </w:tcPr>
          <w:p>
            <w:pPr>
              <w:pStyle w:val="TableContents"/>
              <w:bidi w:val="0"/>
              <w:spacing w:before="0" w:after="283"/>
              <w:jc w:val="both"/>
              <w:rPr/>
            </w:pPr>
            <w:r>
              <w:rPr/>
              <w:t>Allocation of the Company’s 2025 profits to the retained earnings</w:t>
            </w:r>
          </w:p>
        </w:tc>
      </w:tr>
    </w:tbl>
    <w:tbl>
      <w:tblPr>
        <w:tblW w:w="5000" w:type="pct"/>
        <w:jc w:val="left"/>
        <w:tblInd w:w="0" w:type="dxa"/>
        <w:tblLayout w:type="fixed"/>
        <w:tblCellMar>
          <w:top w:w="0" w:type="dxa"/>
          <w:left w:w="0" w:type="dxa"/>
          <w:bottom w:w="0" w:type="dxa"/>
          <w:right w:w="0" w:type="dxa"/>
        </w:tblCellMar>
      </w:tblPr>
      <w:tblGrid>
        <w:gridCol w:w="38"/>
        <w:gridCol w:w="126"/>
        <w:gridCol w:w="10041"/>
      </w:tblGrid>
      <w:tr>
        <w:trPr/>
        <w:tc>
          <w:tcPr>
            <w:tcW w:w="3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rFonts w:ascii="Symbol" w:hAnsi="Symbol"/>
              </w:rPr>
            </w:pPr>
            <w:r>
              <w:rPr>
                <w:rFonts w:ascii="Symbol" w:hAnsi="Symbol"/>
              </w:rPr>
              <w:t>·</w:t>
            </w:r>
          </w:p>
        </w:tc>
        <w:tc>
          <w:tcPr>
            <w:tcW w:w="10041" w:type="dxa"/>
            <w:tcBorders/>
            <w:vAlign w:val="center"/>
          </w:tcPr>
          <w:p>
            <w:pPr>
              <w:pStyle w:val="TableContents"/>
              <w:bidi w:val="0"/>
              <w:spacing w:before="0" w:after="283"/>
              <w:jc w:val="both"/>
              <w:rPr/>
            </w:pPr>
            <w:r>
              <w:rPr/>
              <w:t>Karen Massey has been appointed as an executive director to the Board of Directors for a term of 4 years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Tim Van Hauwermeiren has been appointed as a non-executive director to the Board of Directors for a term of 4 years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Ana Céspedes has been reappointed as non-executive director to the Board of Directors for a term of 4 years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Camilla Sylvest has been reappointed as non-executive director to the Board of Directors for a term of 4 years</w:t>
            </w:r>
          </w:p>
        </w:tc>
      </w:tr>
    </w:tbl>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rPr>
            </w:pPr>
            <w:r>
              <w:rPr>
                <w:rFonts w:ascii="Symbol" w:hAnsi="Symbol"/>
              </w:rPr>
              <w:t>·</w:t>
            </w:r>
          </w:p>
        </w:tc>
        <w:tc>
          <w:tcPr>
            <w:tcW w:w="10040" w:type="dxa"/>
            <w:tcBorders/>
            <w:vAlign w:val="center"/>
          </w:tcPr>
          <w:p>
            <w:pPr>
              <w:pStyle w:val="TableContents"/>
              <w:bidi w:val="0"/>
              <w:spacing w:before="0" w:after="283"/>
              <w:jc w:val="both"/>
              <w:rPr/>
            </w:pPr>
            <w:r>
              <w:rPr/>
              <w:t>Pam Klein has been reappointed as non-executive director to the Board of Directors for a term of 2 years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Authorization to issue shares and grant rights to subscribe for shares in the share capital of the Company for up to 10% of the outstanding share capital at the date of the meeting and for a period of 18 months from the meeting and to limit or exclude statutory pre-emptive rights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result and all documents relating to the shareholders’ meeting will be available on the argenx</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website at </w:t>
      </w:r>
      <w:r>
        <w:rPr>
          <w:rFonts w:ascii="Times New Roman;Times;Serif" w:hAnsi="Times New Roman;Times;Serif"/>
          <w:b w:val="false"/>
          <w:i w:val="false"/>
          <w:caps w:val="false"/>
          <w:smallCaps w:val="false"/>
          <w:sz w:val="20"/>
          <w:u w:val="single"/>
        </w:rPr>
        <w:t>www.argenx.com/investors/shareholder-meetings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drawing>
          <wp:inline distT="0" distB="0" distL="0" distR="0">
            <wp:extent cx="1562100"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562100" cy="571500"/>
                    </a:xfrm>
                    <a:prstGeom prst="rect">
                      <a:avLst/>
                    </a:prstGeom>
                  </pic:spPr>
                </pic:pic>
              </a:graphicData>
            </a:graphic>
          </wp:inline>
        </w:drawing>
      </w: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argenx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Times;Serif" w:hAnsi="Times New Roman;Times;Serif"/>
          <w:b w:val="false"/>
          <w:i w:val="false"/>
          <w:caps w:val="false"/>
          <w:smallCaps w:val="false"/>
          <w:sz w:val="20"/>
          <w:u w:val="single"/>
        </w:rPr>
        <w:t>www.argenx.com</w:t>
      </w:r>
      <w:r>
        <w:rPr>
          <w:rFonts w:ascii="Times New Roman;Times;Serif" w:hAnsi="Times New Roman;Times;Serif"/>
          <w:b w:val="false"/>
          <w:i w:val="false"/>
          <w:caps w:val="false"/>
          <w:smallCaps w:val="false"/>
          <w:sz w:val="20"/>
        </w:rPr>
        <w:t>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Facebook</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information, please contact: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Media: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Petok</w:t>
      </w:r>
    </w:p>
    <w:p>
      <w:pPr>
        <w:pStyle w:val="TextBody"/>
        <w:bidi w:val="0"/>
        <w:spacing w:before="0" w:after="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bpetok@argenx.com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Investors: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Alexandra Roy</w:t>
        <w:br/>
      </w:r>
      <w:r>
        <w:rPr>
          <w:rFonts w:ascii="Times New Roman;Times;Serif" w:hAnsi="Times New Roman;Times;Serif"/>
          <w:b w:val="false"/>
          <w:i w:val="false"/>
          <w:caps w:val="false"/>
          <w:smallCaps w:val="false"/>
          <w:sz w:val="20"/>
          <w:u w:val="single"/>
        </w:rPr>
        <w:t>aroy@argenx.com</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7862/000110465918037616/a18-14643_3s8.htm" TargetMode="External"/><Relationship Id="rId3" Type="http://schemas.openxmlformats.org/officeDocument/2006/relationships/hyperlink" Target="https://www.sec.gov/Archives/edgar/data/1697862/000110465921097298/tm2123453d1_s8.htm" TargetMode="External"/><Relationship Id="rId4" Type="http://schemas.openxmlformats.org/officeDocument/2006/relationships/hyperlink" Target="https://www.sec.gov/Archives/edgar/data/1697862/000110465923104307/tm2326371d1_s8.htm" TargetMode="External"/><Relationship Id="rId5" Type="http://schemas.openxmlformats.org/officeDocument/2006/relationships/hyperlink" Target="https://www.sec.gov/Archives/edgar/data/1697862/000110465925122044/tm2533221d1_s8.htm" TargetMode="External"/><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881</Words>
  <Characters>4744</Characters>
  <CharactersWithSpaces>5641</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