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6"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March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001-38097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ARGENX SE</w:t>
      </w:r>
    </w:p>
    <w:p>
      <w:pPr>
        <w:spacing w:after="0" w:line="45"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Laarderhoogtweg 25</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1101 EB Amsterdam, the Netherlands</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480"/>
        <w:spacing w:after="0" w:line="207" w:lineRule="exact"/>
        <w:tabs>
          <w:tab w:leader="none" w:pos="572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EXPLANATORY NOTE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20, 2026, argenx SE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issued a press release, a copy of which is attached hereto as Exhibit 99.1 and is incorporated by reference herein.</w:t>
      </w:r>
    </w:p>
    <w:p>
      <w:pPr>
        <w:spacing w:after="0" w:line="160" w:lineRule="exact"/>
        <w:rPr>
          <w:sz w:val="20"/>
          <w:szCs w:val="20"/>
          <w:color w:val="auto"/>
        </w:rPr>
      </w:pPr>
    </w:p>
    <w:p>
      <w:pPr>
        <w:jc w:val="both"/>
        <w:spacing w:after="0" w:line="26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The information contained in this Current Report on Form 6-K, including Exhibit 99.1, shall be deemed to be incorporated by reference into the Company’s Registration Statements on Forms S-8 (File Nos. </w:t>
      </w:r>
      <w:hyperlink r:id="rId18">
        <w:r>
          <w:rPr>
            <w:rFonts w:ascii="Times New Roman" w:cs="Times New Roman" w:eastAsia="Times New Roman" w:hAnsi="Times New Roman"/>
            <w:sz w:val="18"/>
            <w:szCs w:val="18"/>
            <w:i w:val="1"/>
            <w:iCs w:val="1"/>
            <w:u w:val="single" w:color="auto"/>
            <w:color w:val="0000EE"/>
          </w:rPr>
          <w:t>333-225375</w:t>
        </w:r>
      </w:hyperlink>
      <w:r>
        <w:rPr>
          <w:rFonts w:ascii="Times New Roman" w:cs="Times New Roman" w:eastAsia="Times New Roman" w:hAnsi="Times New Roman"/>
          <w:sz w:val="18"/>
          <w:szCs w:val="18"/>
          <w:i w:val="1"/>
          <w:iCs w:val="1"/>
          <w:color w:val="auto"/>
        </w:rPr>
        <w:t xml:space="preserve">, </w:t>
      </w:r>
      <w:hyperlink r:id="rId19">
        <w:r>
          <w:rPr>
            <w:rFonts w:ascii="Times New Roman" w:cs="Times New Roman" w:eastAsia="Times New Roman" w:hAnsi="Times New Roman"/>
            <w:sz w:val="18"/>
            <w:szCs w:val="18"/>
            <w:i w:val="1"/>
            <w:iCs w:val="1"/>
            <w:u w:val="single" w:color="auto"/>
            <w:color w:val="0000EE"/>
          </w:rPr>
          <w:t>333-258253</w:t>
        </w:r>
      </w:hyperlink>
      <w:r>
        <w:rPr>
          <w:rFonts w:ascii="Times New Roman" w:cs="Times New Roman" w:eastAsia="Times New Roman" w:hAnsi="Times New Roman"/>
          <w:sz w:val="18"/>
          <w:szCs w:val="18"/>
          <w:i w:val="1"/>
          <w:iCs w:val="1"/>
          <w:color w:val="auto"/>
        </w:rPr>
        <w:t xml:space="preserve">, </w:t>
      </w:r>
      <w:hyperlink r:id="rId20">
        <w:r>
          <w:rPr>
            <w:rFonts w:ascii="Times New Roman" w:cs="Times New Roman" w:eastAsia="Times New Roman" w:hAnsi="Times New Roman"/>
            <w:sz w:val="18"/>
            <w:szCs w:val="18"/>
            <w:i w:val="1"/>
            <w:iCs w:val="1"/>
            <w:u w:val="single" w:color="auto"/>
            <w:color w:val="0000EE"/>
          </w:rPr>
          <w:t>333-274721</w:t>
        </w:r>
      </w:hyperlink>
      <w:r>
        <w:rPr>
          <w:rFonts w:ascii="Times New Roman" w:cs="Times New Roman" w:eastAsia="Times New Roman" w:hAnsi="Times New Roman"/>
          <w:sz w:val="18"/>
          <w:szCs w:val="18"/>
          <w:i w:val="1"/>
          <w:iCs w:val="1"/>
          <w:color w:val="auto"/>
        </w:rPr>
        <w:t xml:space="preserve">, and </w:t>
      </w:r>
      <w:hyperlink r:id="rId21">
        <w:r>
          <w:rPr>
            <w:rFonts w:ascii="Times New Roman" w:cs="Times New Roman" w:eastAsia="Times New Roman" w:hAnsi="Times New Roman"/>
            <w:sz w:val="18"/>
            <w:szCs w:val="18"/>
            <w:i w:val="1"/>
            <w:iCs w:val="1"/>
            <w:u w:val="single" w:color="auto"/>
            <w:color w:val="0000EE"/>
          </w:rPr>
          <w:t>333-292200</w:t>
        </w:r>
      </w:hyperlink>
      <w:r>
        <w:rPr>
          <w:rFonts w:ascii="Times New Roman" w:cs="Times New Roman" w:eastAsia="Times New Roman" w:hAnsi="Times New Roman"/>
          <w:sz w:val="18"/>
          <w:szCs w:val="18"/>
          <w:i w:val="1"/>
          <w:iCs w:val="1"/>
          <w:color w:val="auto"/>
        </w:rPr>
        <w:t>), and to be part thereof from the date on which this Current Report on Form 6-K is filed, to the extent not superseded by documents or reports subsequently filed or furnished.</w:t>
      </w:r>
    </w:p>
    <w:p>
      <w:pPr>
        <w:spacing w:after="0" w:line="171" w:lineRule="exact"/>
        <w:rPr>
          <w:rFonts w:ascii="Times New Roman" w:cs="Times New Roman" w:eastAsia="Times New Roman" w:hAnsi="Times New Roman"/>
          <w:sz w:val="18"/>
          <w:szCs w:val="18"/>
          <w:i w:val="1"/>
          <w:iCs w:val="1"/>
          <w:color w:val="auto"/>
        </w:rPr>
      </w:pPr>
    </w:p>
    <w:p>
      <w:pPr>
        <w:spacing w:after="0"/>
        <w:tabs>
          <w:tab w:leader="none" w:pos="5560" w:val="left"/>
        </w:tabs>
        <w:rPr>
          <w:sz w:val="20"/>
          <w:szCs w:val="20"/>
          <w:color w:val="auto"/>
        </w:rPr>
      </w:pPr>
      <w:r>
        <w:rPr>
          <w:rFonts w:ascii="Times New Roman" w:cs="Times New Roman" w:eastAsia="Times New Roman" w:hAnsi="Times New Roman"/>
          <w:sz w:val="18"/>
          <w:szCs w:val="18"/>
          <w:b w:val="1"/>
          <w:bCs w:val="1"/>
          <w:color w:val="auto"/>
        </w:rPr>
        <w:t>Exhibit</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rFonts w:ascii="Times New Roman" w:cs="Times New Roman" w:eastAsia="Times New Roman" w:hAnsi="Times New Roman"/>
          <w:sz w:val="18"/>
          <w:szCs w:val="18"/>
          <w:i w:val="1"/>
          <w:iCs w:val="1"/>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March 20, 2026</w:t>
      </w:r>
    </w:p>
    <w:p>
      <w:pPr>
        <w:spacing w:after="0" w:line="20" w:lineRule="exact"/>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ARGENX SE</w:t>
            </w:r>
          </w:p>
        </w:tc>
      </w:tr>
      <w:tr>
        <w:trPr>
          <w:trHeight w:val="432"/>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Date: March 20, 2026</w:t>
            </w:r>
          </w:p>
        </w:tc>
        <w:tc>
          <w:tcPr>
            <w:tcW w:w="76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By: /s/ Hemamalini (Malini) Moorthy</w:t>
            </w:r>
          </w:p>
        </w:tc>
      </w:tr>
      <w:tr>
        <w:trPr>
          <w:trHeight w:val="191"/>
        </w:trPr>
        <w:tc>
          <w:tcPr>
            <w:tcW w:w="36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Hemamalini (Malini) Moorthy</w:t>
            </w:r>
          </w:p>
        </w:tc>
      </w:tr>
      <w:tr>
        <w:trPr>
          <w:trHeight w:val="234"/>
        </w:trPr>
        <w:tc>
          <w:tcPr>
            <w:tcW w:w="36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Title: General Counsel</w:t>
            </w:r>
          </w:p>
        </w:tc>
      </w:tr>
      <w:tr>
        <w:trPr>
          <w:trHeight w:val="675"/>
        </w:trPr>
        <w:tc>
          <w:tcPr>
            <w:tcW w:w="36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argenx announces Annual General Meeting of Shareholders on May 6,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March 20, 2026</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Amsterdam, the Netherlands </w:t>
      </w:r>
      <w:r>
        <w:rPr>
          <w:rFonts w:ascii="Times New Roman" w:cs="Times New Roman" w:eastAsia="Times New Roman" w:hAnsi="Times New Roman"/>
          <w:sz w:val="18"/>
          <w:szCs w:val="18"/>
          <w:color w:val="auto"/>
        </w:rPr>
        <w:t>– argenx SE (Euronext &amp; Nasdaq: ARGX), a global immunology company committed to improving the lives of people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suffering from severe autoimmune diseases, today announced that the Annual General Meeting of shareholders will be held at 13:00 CET on Wednesday, May 6, 2026 at the Hilton Amsterdam Schiphol at Schiphol Boulevard 701, 1118 BN Schiphol, the Netherlands.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 xml:space="preserve">The shareholders and all other persons with meeting rights are invited to attend the Annual General Meeting of shareholders. The formal notice of convocation (including information on attending the meeting in person or by proxy, requirements for notification and registration for the meeting and regarding the e-voting system) is available on the argenx website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on </w:t>
      </w:r>
      <w:r>
        <w:rPr>
          <w:rFonts w:ascii="Times New Roman" w:cs="Times New Roman" w:eastAsia="Times New Roman" w:hAnsi="Times New Roman"/>
          <w:sz w:val="18"/>
          <w:szCs w:val="18"/>
          <w:u w:val="single" w:color="auto"/>
          <w:color w:val="auto"/>
        </w:rPr>
        <w:t>www.abnamro.com/evoting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Agenda</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recurrent items on the agenda, such as the discussion and adoption of the 2025 annual accounts, an advisory vote on the company’s 2025 remuneration report, the discharge of the directors for their duties performed in 2025 and the authorization of the Board of Directors to issue shares and to limit or exclude pre-emptive rights in relation thereto, the following changes to the Board of Directors are also proposed:</w:t>
      </w:r>
    </w:p>
    <w:p>
      <w:pPr>
        <w:spacing w:after="0" w:line="176"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Karen Massey as executive director to the Board for a term of 4 years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Appointment of Tim Van Hauwermeiren as non-executive director to the Board for a term of 4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Ana Céspedes as non-executive director to the Board of Directors for a term of 4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Camilla Sylvest as non-executive director to the Board of Directors for a term of 4 years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Re-appointment of Pamela Klein as a non-executive director to the Board of Directors for a term of 2 years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Jim Daly to retire as non-executive director and Chair of the Commercialization Committee, effective May 6, 2026</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Mr. Daly has served as a non-executive director since May 2018. The Board of Directors is currently examining the options for succession of Jim Daly as Chair of the Commercialization Committee.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 would like to express my deep gratitude to Jim for his significant contributions during his tenure with argenx. His contributions as Chair of the Commercialization Committee have been instrumental in architecting our commercial operations and guiding us through multiple product launches, while supporting our entrepreneurial spirit and commitment to innovation.” commented Mr. Peter Verhaeghe.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agenda for the meeting as well as all ancillary documents relevant for the meeting are available via the argenx website and are also available for inspection at the argenx offices. A free copy thereof may also be obtained by e-mailing </w:t>
      </w:r>
      <w:r>
        <w:rPr>
          <w:rFonts w:ascii="Times New Roman" w:cs="Times New Roman" w:eastAsia="Times New Roman" w:hAnsi="Times New Roman"/>
          <w:sz w:val="18"/>
          <w:szCs w:val="18"/>
          <w:u w:val="single" w:color="auto"/>
          <w:color w:val="auto"/>
        </w:rPr>
        <w:t>legal@argenx.com</w:t>
      </w:r>
      <w:r>
        <w:rPr>
          <w:rFonts w:ascii="Times New Roman" w:cs="Times New Roman" w:eastAsia="Times New Roman" w:hAnsi="Times New Roman"/>
          <w:sz w:val="18"/>
          <w:szCs w:val="18"/>
          <w:color w:val="auto"/>
        </w:rPr>
        <w:t>. argenx would like to encourage shareholders to use the voting by (electronic) proxy option as referred to in the convocation.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argenx</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argenx is a global immunology company committed to improving the lives of people suffering from severe autoimmune diseases. Partnering with leading academic researchers through its Immunology Innovation Program (IIP), argenx aims to translate immunology breakthroughs into a world-class portfolio of novel antibody-based medicines. argenx developed and is commercializing the first approved neonatal Fc receptor (FcRn) blocker and is evaluating its broad potential in multiple serious autoimmune diseases while advancing several earlier stage experimental medicines within its therapeutic franchises. For more information, visit </w:t>
      </w:r>
      <w:r>
        <w:rPr>
          <w:rFonts w:ascii="Times New Roman" w:cs="Times New Roman" w:eastAsia="Times New Roman" w:hAnsi="Times New Roman"/>
          <w:sz w:val="18"/>
          <w:szCs w:val="18"/>
          <w:u w:val="single" w:color="auto"/>
          <w:color w:val="auto"/>
        </w:rPr>
        <w:t>www.argenx.com</w:t>
      </w:r>
      <w:r>
        <w:rPr>
          <w:rFonts w:ascii="Times New Roman" w:cs="Times New Roman" w:eastAsia="Times New Roman" w:hAnsi="Times New Roman"/>
          <w:sz w:val="18"/>
          <w:szCs w:val="18"/>
          <w:color w:val="auto"/>
        </w:rPr>
        <w:t xml:space="preserve"> and follow us on </w:t>
      </w:r>
      <w:r>
        <w:rPr>
          <w:rFonts w:ascii="Times New Roman" w:cs="Times New Roman" w:eastAsia="Times New Roman" w:hAnsi="Times New Roman"/>
          <w:sz w:val="18"/>
          <w:szCs w:val="18"/>
          <w:u w:val="single" w:color="auto"/>
          <w:color w:val="auto"/>
        </w:rPr>
        <w:t>LinkedIn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Instagram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Facebook</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YouTube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further information,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 Petok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bpetok@argenx.com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Alexandra Roy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aroy@argenx.com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8" Type="http://schemas.openxmlformats.org/officeDocument/2006/relationships/hyperlink" Target="https://www.sec.gov/Archives/edgar/data/1697862/000110465918037616/a18-14643_3s8.htm" TargetMode="External"/><Relationship Id="rId19" Type="http://schemas.openxmlformats.org/officeDocument/2006/relationships/hyperlink" Target="https://www.sec.gov/Archives/edgar/data/1697862/000110465921097298/tm2123453d1_s8.htm" TargetMode="External"/><Relationship Id="rId20" Type="http://schemas.openxmlformats.org/officeDocument/2006/relationships/hyperlink" Target="https://www.sec.gov/Archives/edgar/data/1697862/000110465923104307/tm2326371d1_s8.htm" TargetMode="External"/><Relationship Id="rId21" Type="http://schemas.openxmlformats.org/officeDocument/2006/relationships/hyperlink" Target="https://www.sec.gov/Archives/edgar/data/1697862/000110465925122044/tm2533221d1_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2026-03-20T15:28:46Z</dcterms:created>
  <dcterms:modified xsi:type="dcterms:W3CDTF">2026-03-20T15:28:46Z</dcterms:modified>
</cp:coreProperties>
</file>