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tm2627263d1_6k.htm"/>
      <w:bookmarkStart w:id="1" w:name="kstm2627263d1_6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001-38097</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ARGENX SE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Laarderhoogtweg 25</w:t>
        <w:br/>
        <w:t>1101 EB Amsterdam, the Netherlands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2026, argenx SE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issued two press releases, copies of which are attached hereto as Exhibits 99.1 and 99.2, respectively, and are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caps w:val="false"/>
          <w:smallCaps w:val="false"/>
          <w:sz w:val="20"/>
        </w:rPr>
        <w:t xml:space="preserve">The information contained in this Current Report on Form 6-K, including Exhibit 99.1 and 99.2, shall be deemed to be incorporated by reference into the Company’s Registration Statements on Forms S-8 (File Nos. </w:t>
      </w:r>
      <w:hyperlink r:id="rId2">
        <w:r>
          <w:rPr>
            <w:rStyle w:val="InternetLink"/>
            <w:rFonts w:ascii="Times New Roman;Times;Serif" w:hAnsi="Times New Roman;Times;Serif"/>
            <w:b w:val="false"/>
            <w:i/>
            <w:caps w:val="false"/>
            <w:smallCaps w:val="false"/>
            <w:sz w:val="20"/>
          </w:rPr>
          <w:t>333-225375</w:t>
        </w:r>
      </w:hyperlink>
      <w:r>
        <w:rPr>
          <w:rFonts w:ascii="Times New Roman;Times;Serif" w:hAnsi="Times New Roman;Times;Serif"/>
          <w:b w:val="false"/>
          <w:i/>
          <w:caps w:val="false"/>
          <w:smallCaps w:val="false"/>
          <w:sz w:val="20"/>
        </w:rPr>
        <w:t xml:space="preserve">, </w:t>
      </w:r>
      <w:hyperlink r:id="rId3">
        <w:r>
          <w:rPr>
            <w:rStyle w:val="InternetLink"/>
            <w:rFonts w:ascii="Times New Roman;Times;Serif" w:hAnsi="Times New Roman;Times;Serif"/>
            <w:b w:val="false"/>
            <w:i/>
            <w:caps w:val="false"/>
            <w:smallCaps w:val="false"/>
            <w:sz w:val="20"/>
          </w:rPr>
          <w:t>333-258253</w:t>
        </w:r>
      </w:hyperlink>
      <w:r>
        <w:rPr>
          <w:rFonts w:ascii="Times New Roman;Times;Serif" w:hAnsi="Times New Roman;Times;Serif"/>
          <w:b w:val="false"/>
          <w:i/>
          <w:caps w:val="false"/>
          <w:smallCaps w:val="false"/>
          <w:sz w:val="20"/>
        </w:rPr>
        <w:t xml:space="preserve">, </w:t>
      </w:r>
      <w:hyperlink r:id="rId4">
        <w:r>
          <w:rPr>
            <w:rStyle w:val="InternetLink"/>
            <w:rFonts w:ascii="Times New Roman;Times;Serif" w:hAnsi="Times New Roman;Times;Serif"/>
            <w:b w:val="false"/>
            <w:i/>
            <w:caps w:val="false"/>
            <w:smallCaps w:val="false"/>
            <w:sz w:val="20"/>
          </w:rPr>
          <w:t>333-274721</w:t>
        </w:r>
      </w:hyperlink>
      <w:r>
        <w:rPr>
          <w:rFonts w:ascii="Times New Roman;Times;Serif" w:hAnsi="Times New Roman;Times;Serif"/>
          <w:b w:val="false"/>
          <w:i/>
          <w:caps w:val="false"/>
          <w:smallCaps w:val="false"/>
          <w:sz w:val="20"/>
        </w:rPr>
        <w:t xml:space="preserve">, and </w:t>
      </w:r>
      <w:hyperlink r:id="rId5">
        <w:r>
          <w:rPr>
            <w:rStyle w:val="InternetLink"/>
            <w:rFonts w:ascii="Times New Roman;Times;Serif" w:hAnsi="Times New Roman;Times;Serif"/>
            <w:b w:val="false"/>
            <w:i/>
            <w:caps w:val="false"/>
            <w:smallCaps w:val="false"/>
            <w:sz w:val="20"/>
          </w:rPr>
          <w:t>333-292200</w:t>
        </w:r>
      </w:hyperlink>
      <w:r>
        <w:rPr>
          <w:rFonts w:ascii="Times New Roman;Times;Serif" w:hAnsi="Times New Roman;Times;Serif"/>
          <w:b w:val="false"/>
          <w:i/>
          <w:caps w:val="false"/>
          <w:smallCaps w:val="false"/>
          <w:sz w:val="20"/>
        </w:rPr>
        <w:t>), and to be part thereof from the date on which this Current Report on Form 6-K is filed,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tbl>
      <w:tblPr>
        <w:tblW w:w="3190" w:type="dxa"/>
        <w:jc w:val="left"/>
        <w:tblInd w:w="0" w:type="dxa"/>
        <w:tblLayout w:type="fixed"/>
        <w:tblCellMar>
          <w:top w:w="0" w:type="dxa"/>
          <w:left w:w="0" w:type="dxa"/>
          <w:bottom w:w="28" w:type="dxa"/>
          <w:right w:w="0" w:type="dxa"/>
        </w:tblCellMar>
      </w:tblPr>
      <w:tblGrid>
        <w:gridCol w:w="665"/>
        <w:gridCol w:w="60"/>
        <w:gridCol w:w="2465"/>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60" w:type="dxa"/>
            <w:tcBorders/>
            <w:tcMar>
              <w:bottom w:w="0" w:type="dxa"/>
            </w:tcMar>
            <w:vAlign w:val="center"/>
          </w:tcPr>
          <w:p>
            <w:pPr>
              <w:pStyle w:val="TableContents"/>
              <w:bidi w:val="0"/>
              <w:spacing w:before="0" w:after="283"/>
              <w:jc w:val="center"/>
              <w:rPr/>
            </w:pPr>
            <w:r>
              <w:rPr/>
              <w:t> </w:t>
            </w:r>
          </w:p>
        </w:tc>
        <w:tc>
          <w:tcPr>
            <w:tcW w:w="24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6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w:anchor="tm2627263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2465" w:type="dxa"/>
            <w:tcBorders/>
            <w:tcMar>
              <w:bottom w:w="0" w:type="dxa"/>
            </w:tcMar>
            <w:vAlign w:val="center"/>
          </w:tcPr>
          <w:p>
            <w:pPr>
              <w:pStyle w:val="TableContents"/>
              <w:bidi w:val="0"/>
              <w:spacing w:before="0" w:after="283"/>
              <w:jc w:val="left"/>
              <w:rPr/>
            </w:pPr>
            <w:hyperlink w:anchor="tm2627263d1_ex99-1.htm">
              <w:r>
                <w:rPr>
                  <w:rStyle w:val="InternetLink"/>
                  <w:rFonts w:ascii="Times New Roman;Times;Serif" w:hAnsi="Times New Roman;Times;Serif"/>
                  <w:sz w:val="20"/>
                </w:rPr>
                <w:t xml:space="preserve">Press Release </w:t>
              </w:r>
            </w:hyperlink>
            <w:hyperlink w:anchor="tm2627263d1_ex99-1.htm">
              <w:r>
                <w:rPr>
                  <w:rStyle w:val="InternetLink"/>
                  <w:sz w:val="20"/>
                </w:rPr>
                <w:t>October 8, 2026</w:t>
              </w:r>
            </w:hyperlink>
          </w:p>
        </w:tc>
      </w:tr>
      <w:tr>
        <w:trPr/>
        <w:tc>
          <w:tcPr>
            <w:tcW w:w="665" w:type="dxa"/>
            <w:tcBorders/>
            <w:tcMar>
              <w:bottom w:w="0" w:type="dxa"/>
            </w:tcMar>
            <w:vAlign w:val="center"/>
          </w:tcPr>
          <w:p>
            <w:pPr>
              <w:pStyle w:val="TableContents"/>
              <w:bidi w:val="0"/>
              <w:spacing w:before="0" w:after="283"/>
              <w:jc w:val="left"/>
              <w:rPr/>
            </w:pPr>
            <w:hyperlink w:anchor="tm2627263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2465" w:type="dxa"/>
            <w:tcBorders/>
            <w:tcMar>
              <w:bottom w:w="0" w:type="dxa"/>
            </w:tcMar>
            <w:vAlign w:val="center"/>
          </w:tcPr>
          <w:p>
            <w:pPr>
              <w:pStyle w:val="TableContents"/>
              <w:bidi w:val="0"/>
              <w:spacing w:before="0" w:after="283"/>
              <w:jc w:val="left"/>
              <w:rPr/>
            </w:pPr>
            <w:hyperlink w:anchor="tm2627263d1_ex99-2.htm">
              <w:r>
                <w:rPr>
                  <w:rStyle w:val="InternetLink"/>
                  <w:rFonts w:ascii="Times New Roman;Times;Serif" w:hAnsi="Times New Roman;Times;Serif"/>
                  <w:sz w:val="20"/>
                </w:rPr>
                <w:t xml:space="preserve">Press Release </w:t>
              </w:r>
            </w:hyperlink>
            <w:hyperlink w:anchor="tm2627263d1_ex99-2.htm">
              <w:r>
                <w:rPr>
                  <w:rStyle w:val="InternetLink"/>
                  <w:sz w:val="20"/>
                </w:rPr>
                <w:t>October 8,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220" w:type="dxa"/>
        <w:jc w:val="left"/>
        <w:tblInd w:w="0" w:type="dxa"/>
        <w:tblLayout w:type="fixed"/>
        <w:tblCellMar>
          <w:top w:w="0" w:type="dxa"/>
          <w:left w:w="0" w:type="dxa"/>
          <w:bottom w:w="0" w:type="dxa"/>
          <w:right w:w="0" w:type="dxa"/>
        </w:tblCellMar>
      </w:tblPr>
      <w:tblGrid>
        <w:gridCol w:w="1820"/>
        <w:gridCol w:w="320"/>
        <w:gridCol w:w="3080"/>
      </w:tblGrid>
      <w:tr>
        <w:trPr/>
        <w:tc>
          <w:tcPr>
            <w:tcW w:w="1820" w:type="dxa"/>
            <w:tcBorders/>
            <w:vAlign w:val="center"/>
          </w:tcPr>
          <w:p>
            <w:pPr>
              <w:pStyle w:val="TableContents"/>
              <w:bidi w:val="0"/>
              <w:spacing w:before="0" w:after="283"/>
              <w:jc w:val="left"/>
              <w:rPr/>
            </w:pPr>
            <w:r>
              <w:rPr/>
              <w:t> </w:t>
            </w:r>
          </w:p>
        </w:tc>
        <w:tc>
          <w:tcPr>
            <w:tcW w:w="34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ARGENX SE</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8,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Hemamalini (Malini) Moorthy</w:t>
            </w:r>
          </w:p>
        </w:tc>
      </w:tr>
      <w:tr>
        <w:trPr/>
        <w:tc>
          <w:tcPr>
            <w:tcW w:w="18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Hemamalini (Malini) Moorthy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7263d1_ex99-1.htm"/>
      <w:bookmarkStart w:id="3" w:name="kstm2627263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argenx Announces Positive Topline Results from Phase 2 Study of FB102 in Celiac Disease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i/>
              </w:rPr>
            </w:pPr>
            <w:r>
              <w:rPr>
                <w:i/>
              </w:rPr>
              <w:t>Study met primary endpoint of change from baseline in the ratio of Vh:Cd (p=0.0176)</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i/>
              </w:rPr>
            </w:pPr>
            <w:r>
              <w:rPr>
                <w:i/>
              </w:rPr>
              <w:t>First Phase 2 evidence that blocking CD122 can prevent gluten-induced intestinal damage in people living with celiac disease</w:t>
            </w:r>
          </w:p>
        </w:tc>
      </w:tr>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i/>
              </w:rPr>
            </w:pPr>
            <w:r>
              <w:rPr>
                <w:i/>
              </w:rPr>
              <w:t>argenx plans to advance FB102 into Phase 3 development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8, 2026, 7:00 AM CET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Amsterdam, the Netherlands </w:t>
      </w:r>
      <w:r>
        <w:rPr>
          <w:rFonts w:ascii="Times New Roman;Times;Serif" w:hAnsi="Times New Roman;Times;Serif"/>
          <w:b w:val="false"/>
          <w:i w:val="false"/>
          <w:caps w:val="false"/>
          <w:smallCaps w:val="false"/>
          <w:sz w:val="20"/>
        </w:rPr>
        <w:t>– argenx SE (Euronext &amp; Nasdaq: ARGX), a global immunology innovation company, today announced positive topline results from the Phase 2 study evaluating FB102, a first-in-class CD122 inhibitor, in adults with celiac disease. These results represent the first clinical readout of FB102 following argenx’s acquisition of Forte Biosciences in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treated with FB102 demonstrated a statistically significant and clinically relevant treatment effect compared to placebo. The study met its primary endpoint of change from baseline in the ratio of villus height–to–crypt depth (Vh:Cd) at day 78 versus placebo in adults with celiac disease undergoing a gluten challenge (p=0.0176). Broad efficacy measures, including intraepithelial lymphocyte (IEL) density, villus height-to-crypt depth intraepithelial lymphocyte (VCIEL) composite score, and symptoms, were consistent with the primary endpoint, providing additional evidence of effect across histologic, inflammatory, and clinical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observed safety profile was consistent with prior studies and the known safety profile of FB102, with no new safety signals identified.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positive Phase 2 results strengthen our conviction in the potential of FB102 to address a significant unmet need for people living with celiac disease, where there are currently no approved therapies,” said Luc Truyen, M.D., Ph.D., Chief Medical Officer at argenx. “The study builds on the Phase 1b trial, providing consistent clinical evidence that CD122 blockade can protect against gluten-induced intestinal damage and prevent emergence of patient symptoms, even under a more intense gluten challenge, validating CD122 as a promising therapeutic target in celiac disease. Combined with the consistent safety profile observed across studies, these findings support advancing FB102 into Phase 3 development and further exploring its broader potential across immune-mediated diseases.”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Detailed results from the Phase 2 study will be shared at an upcoming medical meeting. FB102 continues to be evaluated as a potential treatment in other autoimmune diseases, including vitiligo and alopecia areata.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FB102-301 Study Design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FB102-301 (</w:t>
      </w:r>
      <w:r>
        <w:rPr>
          <w:rFonts w:ascii="Times New Roman;Times;Serif" w:hAnsi="Times New Roman;Times;Serif"/>
          <w:b w:val="false"/>
          <w:i w:val="false"/>
          <w:caps w:val="false"/>
          <w:smallCaps w:val="false"/>
          <w:sz w:val="20"/>
          <w:u w:val="single"/>
        </w:rPr>
        <w:t>NCT06982963</w:t>
      </w:r>
      <w:r>
        <w:rPr>
          <w:rFonts w:ascii="Times New Roman;Times;Serif" w:hAnsi="Times New Roman;Times;Serif"/>
          <w:b w:val="false"/>
          <w:i w:val="false"/>
          <w:caps w:val="false"/>
          <w:smallCaps w:val="false"/>
          <w:sz w:val="20"/>
        </w:rPr>
        <w:t>) is a randomized, double-blind, placebo-controlled, Phase 2 study evaluating FB102 in adults with celiac disease. The study enrolled 126 patients with confirmed celiac disease who were symptom free on a strict gluten-free diet for at least 12 months. Participants were randomized (2:2:1) to receive intravenous infusions of FB102 (two dose levels) or placebo while undergoing a controlled, eight-week oral gluten challenge. The primary endpoint was change from baseline in the ratio of villus height-to-crypt depth (Vh:Cd) at day 78 versus placebo, aimed at determining whether FB102 protects the intestine from gluten-induced damage over the challenge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Celiac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Celiac disease is a chronic autoimmune condition triggered by ingesting gluten, a group of proteins found in wheat, barley, and rye. In people with celiac disease, gluten triggers an immune response that damages the lining of the small intestine. Over time, this damage leads to impaired nutrient absorption and symptoms that include abdominal pain, bloating, diarrhea, and fatigue. There are no approved medicines to treat celiac disease and the current standard of care is a strict gluten-free diet. Unintended exposure to gluten through consumer products, like prepackaged foods, cosmetics, toothpaste, vitamins, and nutritional supplements, is common. Many people living with celiac disease also experience challenges eating out of the home at restaurants, work, or while traveling, which impacts their quality of life.  It is estimated that approximately 1 percent of people worldwide have celiac disease, and studies show the incidence is rising by about 7.5% per year. The burden of symptoms, growing prevalence, and lack of any approved therapeutic options reinforce the critical need for medications that can address the underlying causes of intestinal damage and improve symptoms and outcomes in people living with celiac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FB102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FB102 is an investigational, first-in-class anti-CD122 antibody being studied as a potential treatment for several autoimmune diseases, including celiac disease, vitiligo, and alopecia areata. CD122 is a key component of IL-2 and IL-15 signaling pathways involved in the activation and maintenance of disease-driving immune cells. FB102 is designed to block CD122 to selectively modulate IL-2 and IL-15 pathways that cause inflammation while preserving regulatory T-cell function and immune balance. The U.S. Food and Drug Administration has granted FB102 Fast Track Designation for celiac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argenx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argenx is a global immunology innovation company committed to improving the lives of people suffering from severe autoimmune diseases. Partnering with leading academic researchers through its Immunology Innovation Program (IIP), argenx aims to translate immunology breakthroughs into a world-class portfolio of novel antibody-based medicines. argenx developed and is commercializing the first approved neonatal Fc receptor (FcRn) blocker and is evaluating its broad potential in multiple serious autoimmune diseases while advancing several earlier stage experimental medicines within its therapeutic franchises. For more information, visit </w:t>
      </w:r>
      <w:r>
        <w:rPr>
          <w:rFonts w:ascii="Times New Roman;Times;Serif" w:hAnsi="Times New Roman;Times;Serif"/>
          <w:b w:val="false"/>
          <w:i w:val="false"/>
          <w:caps w:val="false"/>
          <w:smallCaps w:val="false"/>
          <w:sz w:val="20"/>
          <w:u w:val="single"/>
        </w:rPr>
        <w:t>www.argenx.com</w:t>
      </w:r>
      <w:r>
        <w:rPr>
          <w:rFonts w:ascii="Times New Roman;Times;Serif" w:hAnsi="Times New Roman;Times;Serif"/>
          <w:b w:val="false"/>
          <w:i w:val="false"/>
          <w:caps w:val="false"/>
          <w:smallCaps w:val="false"/>
          <w:sz w:val="20"/>
        </w:rPr>
        <w:t xml:space="preserve">  and follow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Instagram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Facebook</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YouTube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42424"/>
          <w:sz w:val="20"/>
        </w:rPr>
      </w:pPr>
      <w:r>
        <w:rPr>
          <w:rFonts w:ascii="Times New Roman;Times;Serif" w:hAnsi="Times New Roman;Times;Serif"/>
          <w:b/>
          <w:i w:val="false"/>
          <w:caps w:val="false"/>
          <w:smallCaps w:val="false"/>
          <w:color w:val="242424"/>
          <w:sz w:val="20"/>
        </w:rPr>
        <w:t>This press release contains inside information within the meaning of Article 7(1) of the EU Market Abuse Regulation (Regulation 596/2014).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Suzanne Johnson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sjohnson@argenx.com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Alexandra Roy</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aroy@argenx.com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this announcement include statements that are, or may be deemed to be, “forward-looking statements.” These forward-looking statements generally can be identified by the use of forward-looking words, such as “aim”, “anticipate”, “aspire”, “believe”, “can”, “continue”, “could”, “estimate”, “expect”, “entail”, “forecast”, “future”, “goals”, “hope”, “intend”, “is designed to”, “likely”, “may”, “might”, “objective”, “plan”, “possible”, “potential”, “pursue”, “project”, “predict”, “seek”, “should”, “strategy”, “target”, “will” and other words and terms of similar meaning and expression, including in connection with any discussion of future operating or financial performance. By their nature, forward-looking statements involve risks and uncertainties and readers are cautioned that any such forward-looking statements are not guarantees of future performance. argenx’s actual results may differ materially from those predicted by the forward-looking statements as a result of various important factors, including but not limited to, the results of argenx’s clinical trials; uncertainties associated with the development of novel drug therapies; preclinical and clinical trial and product development risks and setbacks; interpretation of argenx’s clinical trial data by regulatory authorities and argenx’s ability to obtain regulatory approval; the risk that early stage clinical trials may not be predictive of results in later stage or large scale clinical trials; the occurrence of adverse safety events or participant dropouts; the acceptance of its products and product candidates by its patients as safe, effective, and cost-effective; the impact of governmental laws and regulations, including tariffs, export controls, sanctions and other regulations on its business; the impact of healthcare regulations, including rules on reimbursement for argenx’s products; competition in drug discovery, development and commercialization efforts; its reliance on third-party suppliers, service providers and manufacturers; and instability and conflicts in the regions in which the company has suppliers or markets for its products. A further list and description of these and other risks, uncertainties, and factors that could cause actual results to differ materially from those referred to in the forward-looking statements can be found in argenx’s U.S. Securities and Exchange Commission (SEC) filings and reports, including in argenx’s most recent annual report on Form 20-F filed with the SEC as well as subsequent filings and reports filed by argenx with the SEC. Given these risks and uncertainties, the reader is advised not to place undue reliance on such forward-looking statements. These forward-looking statements speak only as of the date of publication of this press release. argenx undertakes no obligation to publicly update or revise the information in this press release, including any forward-looking statements,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4" w:name="tm2627263d1_ex99-2.htm"/>
      <w:bookmarkStart w:id="5" w:name="kstm2627263d1_ex992"/>
      <w:bookmarkEnd w:id="4"/>
      <w:bookmarkEnd w:id="5"/>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argenx Provides Update on Phase 3 UNITY Study of Efgartigimod SC in Sjögren's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8, 2026, 7:00 AM CET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Amsterdam, the Netherlands</w:t>
      </w:r>
      <w:r>
        <w:rPr>
          <w:rFonts w:ascii="Times New Roman;Times;Serif" w:hAnsi="Times New Roman;Times;Serif"/>
          <w:b w:val="false"/>
          <w:i w:val="false"/>
          <w:caps w:val="false"/>
          <w:smallCaps w:val="false"/>
          <w:sz w:val="20"/>
        </w:rPr>
        <w:t xml:space="preserve"> – argenx SE (Euronext &amp; Nasdaq: ARGX), a global immunology innovation company, today announced that it will discontinue the Phase 3 UNITY study of efgartigimod subcutaneous (SC) (efgartigimod alfa and hyaluronidase-qvfc) in adults with moderate-to-severe Sjögren's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decision is based on the recommendation from an Independent Data Monitoring Committee (IDMC) to stop the study for futility following an interim analysis. The IDMC concluded that the UNITY study is unable to meet its primary endpoint. Safety was consistent with efgartigimod's established profile and no new safety signals were identified.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disappointed by this outcome, most of all for people living with Sjögren's disease, who are still waiting for treatments that fundamentally change the course of their disease,” said Luc Truyen, M.D., Ph.D., Chief Medical Officer at argenx. “Sjögren's Disease is one of the most heterogeneous and complicated diseases in immunology, and unraveling the biology of complex diseases is at the heart of what we do. We will analyze these data in depth and share what we learn with the Sjögren's community. We are grateful to the patients, families, investigators and site staff who made this study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study close and database lock, argenx will conduct a comprehensive analysis of the data to understand the study's outcome and generate insights that may inform future research in Sjögren's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UNITY Study Design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UNITY is a Phase 3, randomized, double-blind, placebo-controlled, multicenter study with an open-label extension, designed to evaluate the efficacy, safety and tolerability of efgartigimod SC in adults with moderate-to-severe Sjögren's disease. To be eligible, patients had to meet the 2016 ACR/EULAR classification criteria for primary Sjögren's disease, test positive for anti-Ro/SSA autoantibodies and have moderate-to-severe systemic disease activity (clinESSDAI ≥6) while receiving stable background standard of care. Patients were randomized 1:1 to receive weekly efgartigimod SC or placebo during the double-blind treatment period. The primary endpoint was change from baseline in systemic disease activity, as measured by the clinical EULAR Sjögren's Syndrome Disease Activity Index (clinESSDAI), at Week 48. Key secondary endpoints included the proportion of patients achieving low disease activity (clinESSDAI &lt;5), responder status on the Sjögren's Tool for Assessing Response (STAR), change in patient-reported symptoms as measured by the Diary of Sjögren's Symptoms Assessment (DiSSA), and safety and tolerability.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Sjögren's Disease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Sjögren's disease is a chronic, slowly progressive, inflammatory systemic autoimmune disease characterized by immune-mediated destruction of the exocrine glands. It can be severely debilitating and have a negative impact on patient quality of life, with commonly reported symptoms including dry eyes and mouth, fatigue and joint pain. In addition, a substantial subset of patients suffer from extraglandular systemic disease. While the presence of anti-Ro and IgG autoantibodies is considered a hallmark of the disease, its underlying cause is believed to be multifactorial, with environmental triggers leading to autoimmunity and chronic inflammation. The disease predominantly affects women, with a 9:1 female-to-male incidence ratio. Given its heterogeneous nature, the treatment journey can be challenging, with long delays and high rates of misdiagnosis.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VYVGART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VYVGART® (efgartigimod alfa fcab) is a first-in-class human IgG1 antibody fragment that binds to the neonatal Fc receptor (FcRn), resulting in the reduction of circulating IgG autoantibodies. VYVGART Hytrulo® is a subcutaneous combination of efgartigimod alfa (VYVGART) and recombinant human hyaluronidase PH20 (rHuPH20), Halozyme's ENHANZE® drug delivery technology to facilitate subcutaneous injection delivery of biologics.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VYVGART is approved for generalized myasthenia gravis (gMG) and immune thrombocytopenia (Japan only). VYVGART Hytrulo is approved for gMG and chronic inflammatory demyelinating polyneuropathy (CIDP). VYVGART Hytrulo may be marketed under different proprietary names in other regions.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argenx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argenx is a global immunology innovation company committed to improving the lives of people suffering from severe autoimmune diseases. Partnering with leading academic researchers through its Immunology Innovation Program (IIP), argenx aims to translate immunology breakthroughs into a world-class portfolio of novel antibody-based medicines. argenx developed and is commercializing the first approved neonatal Fc receptor (FcRn) blocker and is evaluating its broad potential in multiple serious autoimmune diseases while advancing several earlier stage experimental medicines within its therapeutic franchises. For more information, visit </w:t>
      </w:r>
      <w:r>
        <w:rPr>
          <w:rFonts w:ascii="Times New Roman;Times;Serif" w:hAnsi="Times New Roman;Times;Serif"/>
          <w:b w:val="false"/>
          <w:i w:val="false"/>
          <w:caps w:val="false"/>
          <w:smallCaps w:val="false"/>
          <w:sz w:val="20"/>
          <w:u w:val="single"/>
        </w:rPr>
        <w:t>www.argenx.com</w:t>
      </w:r>
      <w:r>
        <w:rPr>
          <w:rFonts w:ascii="Times New Roman;Times;Serif" w:hAnsi="Times New Roman;Times;Serif"/>
          <w:b w:val="false"/>
          <w:i w:val="false"/>
          <w:caps w:val="false"/>
          <w:smallCaps w:val="false"/>
          <w:sz w:val="20"/>
        </w:rPr>
        <w:t xml:space="preserve"> and follow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Instagram</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Facebook</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YouTube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42424"/>
          <w:sz w:val="20"/>
        </w:rPr>
      </w:pPr>
      <w:r>
        <w:rPr>
          <w:rFonts w:ascii="Times New Roman;Times;Serif" w:hAnsi="Times New Roman;Times;Serif"/>
          <w:b/>
          <w:i w:val="false"/>
          <w:caps w:val="false"/>
          <w:smallCaps w:val="false"/>
          <w:color w:val="242424"/>
          <w:sz w:val="20"/>
        </w:rPr>
        <w:t>This press release contains inside information within the meaning of Article 7(1) of the EU Market Abuse Regulation (Regulation 596/2014).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Colin McBean</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cmcbean@argenx.com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Alexandra Roy</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aroy@argenx.com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this announcement include statements that are, or may be deemed to be, “forward-looking statements.” These forward-looking statements generally can be identified by the use of forward-looking words, such as “aim”, “anticipate”, “aspire”, “believe”, “can”, “continue”, “could”, “estimate”, “expect”, “entail”, “forecast”, “future”, “goals”, “hope”, “intend”, “is designed to”, “likely”, “may”, “might”, “objective”, “plan”, “possible”, “potential”, “pursue”, “project”, “predict”, “seek”, “should”, “strategy”, “target”, “will” and other words and terms of similar meaning and expression, including in connection with any discussion of future operating or financial performance. By their nature, forward-looking statements involve risks and uncertainties and readers are cautioned that any such forward-looking statements are not guarantees of future performance. argenx’s actual results may differ materially from those predicted by the forward-looking statements as a result of various important factors, including but not limited to, the results of argenx’s clinical trials; uncertainties associated with the development of novel drug therapies; preclinical and clinical trial and product development risks and setbacks; interpretation of argenx’s clinical trial data by regulatory authorities and argenx’s ability to obtain regulatory approval; the risk that early stage clinical trials may not be predictive of results in later stage or large scale clinical trials; the occurrence of adverse safety events or participant dropouts; the acceptance of its products and product candidates by its patients as safe, effective, and cost-effective; the impact of governmental laws and regulations, including tariffs, export controls, sanctions and other regulations on its business; the impact of healthcare regulations, including rules on reimbursement for argenx’s products; competition in drug discovery, development and commercialization efforts; its reliance on third-party suppliers, service providers and manufacturers; and instability and conflicts in the regions in which the company has suppliers or markets for its products. A further list and description of these and other risks, uncertainties, and factors that could cause actual results to differ materially from those referred to in the forward-looking statements can be found in argenx’s U.S. Securities and Exchange Commission (SEC) filings and reports, including in argenx’s most recent annual report on Form 20-F filed with the SEC as well as subsequent filings and reports filed by argenx with the SEC. Given these risks and uncertainties, the reader is advised not to place undue reliance on such forward-looking statements. These forward-looking statements speak only as of the date of publication of this press release. argenx undertakes no obligation to publicly update or revise the information in this press release, including any forward-looking statements,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97862/000110465918037616/a18-14643_3s8.htm" TargetMode="External"/><Relationship Id="rId3" Type="http://schemas.openxmlformats.org/officeDocument/2006/relationships/hyperlink" Target="https://www.sec.gov/Archives/edgar/data/1697862/000110465921097298/tm2123453d1_s8.htm" TargetMode="External"/><Relationship Id="rId4" Type="http://schemas.openxmlformats.org/officeDocument/2006/relationships/hyperlink" Target="https://www.sec.gov/Archives/edgar/data/1697862/000110465923104307/tm2326371d1_s8.htm" TargetMode="External"/><Relationship Id="rId5" Type="http://schemas.openxmlformats.org/officeDocument/2006/relationships/hyperlink" Target="https://www.sec.gov/Archives/edgar/data/1697862/000110465925122044/tm2533221d1_s8.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2744</Words>
  <Characters>16543</Characters>
  <CharactersWithSpaces>19311</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