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288290</wp:posOffset>
            </wp:positionH>
            <wp:positionV relativeFrom="page">
              <wp:posOffset>706120</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723265</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jc w:val="center"/>
        <w:ind w:right="-980"/>
        <w:spacing w:after="0" w:line="226"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69780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32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9"/>
          <w:szCs w:val="1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69780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7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REPORT OF FOREIGN PRIVATE ISSUER</w:t>
      </w:r>
    </w:p>
    <w:p>
      <w:pPr>
        <w:ind w:left="4280"/>
        <w:spacing w:after="0" w:line="204" w:lineRule="auto"/>
        <w:rPr>
          <w:sz w:val="20"/>
          <w:szCs w:val="20"/>
          <w:color w:val="auto"/>
        </w:rPr>
      </w:pPr>
      <w:r>
        <w:rPr>
          <w:rFonts w:ascii="Times New Roman" w:cs="Times New Roman" w:eastAsia="Times New Roman" w:hAnsi="Times New Roman"/>
          <w:sz w:val="13"/>
          <w:szCs w:val="13"/>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For the Month of May 2026</w:t>
      </w:r>
    </w:p>
    <w:p>
      <w:pPr>
        <w:spacing w:after="0" w:line="1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1"/>
          <w:szCs w:val="11"/>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9780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6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6"/>
          <w:szCs w:val="26"/>
          <w:b w:val="1"/>
          <w:bCs w:val="1"/>
          <w:color w:val="auto"/>
        </w:rPr>
        <w:t>ARGENX SE</w:t>
      </w:r>
    </w:p>
    <w:p>
      <w:pPr>
        <w:spacing w:after="0" w:line="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9780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3"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1"/>
          <w:szCs w:val="11"/>
          <w:b w:val="1"/>
          <w:bCs w:val="1"/>
          <w:color w:val="auto"/>
        </w:rPr>
        <w:t>Laarderhoogtweg 25</w:t>
      </w:r>
    </w:p>
    <w:p>
      <w:pPr>
        <w:spacing w:after="0" w:line="14"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1"/>
          <w:szCs w:val="11"/>
          <w:b w:val="1"/>
          <w:bCs w:val="1"/>
          <w:color w:val="auto"/>
        </w:rPr>
        <w:t>1101 EB Amsterdam, the Netherlands</w:t>
      </w:r>
    </w:p>
    <w:p>
      <w:pPr>
        <w:spacing w:after="0" w:line="2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8"/>
          <w:szCs w:val="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9780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files or will file annual reports under cover of Form 20-F or Form 40-F.</w:t>
      </w:r>
    </w:p>
    <w:p>
      <w:pPr>
        <w:spacing w:after="0" w:line="120" w:lineRule="exact"/>
        <w:rPr>
          <w:sz w:val="24"/>
          <w:szCs w:val="24"/>
          <w:color w:val="auto"/>
        </w:rPr>
      </w:pPr>
    </w:p>
    <w:p>
      <w:pPr>
        <w:ind w:left="4820"/>
        <w:spacing w:after="0" w:line="148" w:lineRule="exact"/>
        <w:tabs>
          <w:tab w:leader="none" w:pos="5540" w:val="left"/>
        </w:tabs>
        <w:rPr>
          <w:sz w:val="20"/>
          <w:szCs w:val="20"/>
          <w:color w:val="auto"/>
        </w:rPr>
      </w:pPr>
      <w:r>
        <w:rPr>
          <w:rFonts w:ascii="Times New Roman" w:cs="Times New Roman" w:eastAsia="Times New Roman" w:hAnsi="Times New Roman"/>
          <w:sz w:val="11"/>
          <w:szCs w:val="11"/>
          <w:color w:val="auto"/>
        </w:rPr>
        <w:t xml:space="preserve">Form 20-F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Form 40-F </w:t>
      </w:r>
      <w:r>
        <w:rPr>
          <w:rFonts w:ascii="Arial Unicode MS" w:cs="Arial Unicode MS" w:eastAsia="Arial Unicode MS" w:hAnsi="Arial Unicode MS"/>
          <w:sz w:val="10"/>
          <w:szCs w:val="10"/>
          <w:color w:val="auto"/>
        </w:rPr>
        <w:t>☐</w:t>
      </w:r>
    </w:p>
    <w:p>
      <w:pPr>
        <w:spacing w:after="0" w:line="26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submitting the Form 6-K in paper as permitted by Regulation S-T Rule 101(b) (1): </w:t>
      </w:r>
      <w:r>
        <w:rPr>
          <w:rFonts w:ascii="MS PGothic" w:cs="MS PGothic" w:eastAsia="MS PGothic" w:hAnsi="MS PGothic"/>
          <w:sz w:val="10"/>
          <w:szCs w:val="10"/>
          <w:color w:val="auto"/>
        </w:rPr>
        <w:t>☐</w:t>
      </w:r>
    </w:p>
    <w:p>
      <w:pPr>
        <w:spacing w:after="0" w:line="119"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submitting the Form 6-K in paper as permitted by Regulation S-T Rule 101(b)(7):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69780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ectPr>
          <w:pgSz w:w="11900" w:h="16838" w:orient="portrait"/>
          <w:cols w:equalWidth="0" w:num="1">
            <w:col w:w="9999"/>
          </w:cols>
          <w:pgMar w:left="460" w:top="1280" w:right="1440" w:bottom="1440" w:gutter="0" w:footer="0" w:header="0"/>
        </w:sectPr>
      </w:pPr>
    </w:p>
    <w:bookmarkStart w:id="1" w:name="page2"/>
    <w:bookmarkEnd w:id="1"/>
    <w:p>
      <w:pPr>
        <w:ind w:left="5280"/>
        <w:spacing w:after="0"/>
        <w:rPr>
          <w:sz w:val="20"/>
          <w:szCs w:val="20"/>
          <w:color w:val="auto"/>
        </w:rPr>
      </w:pPr>
      <w:r>
        <w:rPr>
          <w:rFonts w:ascii="Times New Roman" w:cs="Times New Roman" w:eastAsia="Times New Roman" w:hAnsi="Times New Roman"/>
          <w:sz w:val="11"/>
          <w:szCs w:val="11"/>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266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6605" cy="5715"/>
                    </a:xfrm>
                    <a:prstGeom prst="rect">
                      <a:avLst/>
                    </a:prstGeom>
                    <a:noFill/>
                  </pic:spPr>
                </pic:pic>
              </a:graphicData>
            </a:graphic>
          </wp:anchor>
        </w:drawing>
        <w:t>EXPLANATORY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On May 7, 2026, argenx SE (the “</w:t>
      </w:r>
      <w:r>
        <w:rPr>
          <w:rFonts w:ascii="Times New Roman" w:cs="Times New Roman" w:eastAsia="Times New Roman" w:hAnsi="Times New Roman"/>
          <w:sz w:val="11"/>
          <w:szCs w:val="11"/>
          <w:u w:val="single" w:color="auto"/>
          <w:color w:val="auto"/>
        </w:rPr>
        <w:t>Company</w:t>
      </w:r>
      <w:r>
        <w:rPr>
          <w:rFonts w:ascii="Times New Roman" w:cs="Times New Roman" w:eastAsia="Times New Roman" w:hAnsi="Times New Roman"/>
          <w:sz w:val="11"/>
          <w:szCs w:val="11"/>
          <w:color w:val="auto"/>
        </w:rPr>
        <w:t>”) issued a press release and an investor presentation, copies of which are attached hereto as Exhibits 99.1 and 99.2, respectively, and are incorporated by reference herein.</w:t>
      </w:r>
    </w:p>
    <w:p>
      <w:pPr>
        <w:spacing w:after="0" w:line="187" w:lineRule="exact"/>
        <w:rPr>
          <w:sz w:val="20"/>
          <w:szCs w:val="20"/>
          <w:color w:val="auto"/>
        </w:rPr>
      </w:pPr>
    </w:p>
    <w:p>
      <w:pPr>
        <w:ind w:right="160"/>
        <w:spacing w:after="0" w:line="243" w:lineRule="auto"/>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 xml:space="preserve">The information contained in this Current Report on Form 6-K, including Exhibits 99.1 and 99.2, shall be deemed to be incorporated by reference into the Company’s Registration Statements on Form S-8 (File Nos. </w:t>
      </w:r>
      <w:hyperlink r:id="rId17">
        <w:r>
          <w:rPr>
            <w:rFonts w:ascii="Times New Roman" w:cs="Times New Roman" w:eastAsia="Times New Roman" w:hAnsi="Times New Roman"/>
            <w:sz w:val="10"/>
            <w:szCs w:val="10"/>
            <w:i w:val="1"/>
            <w:iCs w:val="1"/>
            <w:u w:val="single" w:color="auto"/>
            <w:color w:val="0000FF"/>
          </w:rPr>
          <w:t>333-225375</w:t>
        </w:r>
      </w:hyperlink>
      <w:r>
        <w:rPr>
          <w:rFonts w:ascii="Times New Roman" w:cs="Times New Roman" w:eastAsia="Times New Roman" w:hAnsi="Times New Roman"/>
          <w:sz w:val="10"/>
          <w:szCs w:val="10"/>
          <w:i w:val="1"/>
          <w:iCs w:val="1"/>
          <w:color w:val="auto"/>
        </w:rPr>
        <w:t xml:space="preserve">, </w:t>
      </w:r>
      <w:hyperlink r:id="rId18">
        <w:r>
          <w:rPr>
            <w:rFonts w:ascii="Times New Roman" w:cs="Times New Roman" w:eastAsia="Times New Roman" w:hAnsi="Times New Roman"/>
            <w:sz w:val="10"/>
            <w:szCs w:val="10"/>
            <w:i w:val="1"/>
            <w:iCs w:val="1"/>
            <w:u w:val="single" w:color="auto"/>
            <w:color w:val="0000FF"/>
          </w:rPr>
          <w:t>333-258253</w:t>
        </w:r>
      </w:hyperlink>
      <w:r>
        <w:rPr>
          <w:rFonts w:ascii="Times New Roman" w:cs="Times New Roman" w:eastAsia="Times New Roman" w:hAnsi="Times New Roman"/>
          <w:sz w:val="10"/>
          <w:szCs w:val="10"/>
          <w:i w:val="1"/>
          <w:iCs w:val="1"/>
          <w:color w:val="auto"/>
        </w:rPr>
        <w:t xml:space="preserve">, </w:t>
      </w:r>
      <w:hyperlink r:id="rId19">
        <w:r>
          <w:rPr>
            <w:rFonts w:ascii="Times New Roman" w:cs="Times New Roman" w:eastAsia="Times New Roman" w:hAnsi="Times New Roman"/>
            <w:sz w:val="10"/>
            <w:szCs w:val="10"/>
            <w:i w:val="1"/>
            <w:iCs w:val="1"/>
            <w:u w:val="single" w:color="auto"/>
            <w:color w:val="0000FF"/>
          </w:rPr>
          <w:t>333-274721</w:t>
        </w:r>
      </w:hyperlink>
      <w:r>
        <w:rPr>
          <w:rFonts w:ascii="Times New Roman" w:cs="Times New Roman" w:eastAsia="Times New Roman" w:hAnsi="Times New Roman"/>
          <w:sz w:val="10"/>
          <w:szCs w:val="10"/>
          <w:i w:val="1"/>
          <w:iCs w:val="1"/>
          <w:color w:val="auto"/>
        </w:rPr>
        <w:t xml:space="preserve">, and </w:t>
      </w:r>
      <w:hyperlink r:id="rId20">
        <w:r>
          <w:rPr>
            <w:rFonts w:ascii="Times New Roman" w:cs="Times New Roman" w:eastAsia="Times New Roman" w:hAnsi="Times New Roman"/>
            <w:sz w:val="10"/>
            <w:szCs w:val="10"/>
            <w:i w:val="1"/>
            <w:iCs w:val="1"/>
            <w:u w:val="single" w:color="auto"/>
            <w:color w:val="0000FF"/>
          </w:rPr>
          <w:t>333-292200</w:t>
        </w:r>
      </w:hyperlink>
      <w:r>
        <w:rPr>
          <w:rFonts w:ascii="Times New Roman" w:cs="Times New Roman" w:eastAsia="Times New Roman" w:hAnsi="Times New Roman"/>
          <w:sz w:val="10"/>
          <w:szCs w:val="10"/>
          <w:i w:val="1"/>
          <w:iCs w:val="1"/>
          <w:color w:val="auto"/>
        </w:rPr>
        <w:t>), and to be part thereof from the date on which this Current Report on Form 6-K is filed, to the extent not superseded by documents or reports subsequently filed or furnished.</w:t>
      </w:r>
    </w:p>
    <w:p>
      <w:pPr>
        <w:spacing w:after="0" w:line="20" w:lineRule="exact"/>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266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26605" cy="5715"/>
                    </a:xfrm>
                    <a:prstGeom prst="rect">
                      <a:avLst/>
                    </a:prstGeom>
                    <a:noFill/>
                  </pic:spPr>
                </pic:pic>
              </a:graphicData>
            </a:graphic>
          </wp:anchor>
        </w:drawing>
      </w:r>
    </w:p>
    <w:p>
      <w:pPr>
        <w:spacing w:after="0" w:line="200" w:lineRule="exact"/>
        <w:rPr>
          <w:rFonts w:ascii="Times New Roman" w:cs="Times New Roman" w:eastAsia="Times New Roman" w:hAnsi="Times New Roman"/>
          <w:sz w:val="10"/>
          <w:szCs w:val="10"/>
          <w:i w:val="1"/>
          <w:iCs w:val="1"/>
          <w:color w:val="auto"/>
        </w:rPr>
      </w:pPr>
    </w:p>
    <w:p>
      <w:pPr>
        <w:spacing w:after="0" w:line="206" w:lineRule="exact"/>
        <w:rPr>
          <w:rFonts w:ascii="Times New Roman" w:cs="Times New Roman" w:eastAsia="Times New Roman" w:hAnsi="Times New Roman"/>
          <w:sz w:val="10"/>
          <w:szCs w:val="10"/>
          <w:i w:val="1"/>
          <w:iCs w:val="1"/>
          <w:color w:val="auto"/>
        </w:rPr>
      </w:pPr>
    </w:p>
    <w:p>
      <w:pPr>
        <w:jc w:val="center"/>
        <w:ind w:left="400"/>
        <w:spacing w:after="0"/>
        <w:rPr>
          <w:sz w:val="20"/>
          <w:szCs w:val="20"/>
          <w:color w:val="auto"/>
        </w:rPr>
      </w:pPr>
      <w:r>
        <w:rPr>
          <w:rFonts w:ascii="Times New Roman" w:cs="Times New Roman" w:eastAsia="Times New Roman" w:hAnsi="Times New Roman"/>
          <w:sz w:val="11"/>
          <w:szCs w:val="11"/>
          <w:b w:val="1"/>
          <w:bCs w:val="1"/>
          <w:color w:val="auto"/>
        </w:rPr>
        <w:t>EXHIBITS</w:t>
      </w:r>
    </w:p>
    <w:p>
      <w:pPr>
        <w:spacing w:after="0" w:line="34" w:lineRule="exact"/>
        <w:rPr>
          <w:rFonts w:ascii="Times New Roman" w:cs="Times New Roman" w:eastAsia="Times New Roman" w:hAnsi="Times New Roman"/>
          <w:sz w:val="10"/>
          <w:szCs w:val="10"/>
          <w:i w:val="1"/>
          <w:iCs w:val="1"/>
          <w:color w:val="auto"/>
        </w:rPr>
      </w:pPr>
    </w:p>
    <w:tbl>
      <w:tblPr>
        <w:tblLayout w:type="fixed"/>
        <w:tblInd w:w="0" w:type="dxa"/>
        <w:tblCellMar>
          <w:top w:w="0" w:type="dxa"/>
          <w:left w:w="0" w:type="dxa"/>
          <w:bottom w:w="0" w:type="dxa"/>
          <w:right w:w="0" w:type="dxa"/>
        </w:tblCellMar>
      </w:tblPr>
      <w:tr>
        <w:trPr>
          <w:trHeight w:val="115"/>
        </w:trPr>
        <w:tc>
          <w:tcPr>
            <w:tcW w:w="106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Exhibit</w:t>
            </w:r>
          </w:p>
        </w:tc>
        <w:tc>
          <w:tcPr>
            <w:tcW w:w="102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Description</w:t>
            </w:r>
          </w:p>
        </w:tc>
      </w:tr>
      <w:tr>
        <w:trPr>
          <w:trHeight w:val="135"/>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99.1</w:t>
            </w:r>
          </w:p>
        </w:tc>
        <w:tc>
          <w:tcPr>
            <w:tcW w:w="180" w:type="dxa"/>
            <w:vAlign w:val="bottom"/>
          </w:tcPr>
          <w:p>
            <w:pPr>
              <w:spacing w:after="0"/>
              <w:rPr>
                <w:sz w:val="11"/>
                <w:szCs w:val="11"/>
                <w:color w:val="auto"/>
              </w:rPr>
            </w:pPr>
          </w:p>
        </w:tc>
        <w:tc>
          <w:tcPr>
            <w:tcW w:w="10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0E32E1"/>
              </w:rPr>
              <w:t>Press Release dated May 7, 2026</w:t>
            </w:r>
          </w:p>
        </w:tc>
      </w:tr>
      <w:tr>
        <w:trPr>
          <w:trHeight w:val="159"/>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99.2</w:t>
            </w:r>
          </w:p>
        </w:tc>
        <w:tc>
          <w:tcPr>
            <w:tcW w:w="180" w:type="dxa"/>
            <w:vAlign w:val="bottom"/>
          </w:tcPr>
          <w:p>
            <w:pPr>
              <w:spacing w:after="0"/>
              <w:rPr>
                <w:sz w:val="13"/>
                <w:szCs w:val="13"/>
                <w:color w:val="auto"/>
              </w:rPr>
            </w:pPr>
          </w:p>
        </w:tc>
        <w:tc>
          <w:tcPr>
            <w:tcW w:w="10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0000FF"/>
              </w:rPr>
              <w:t>Investor Presentation dated May 7, 2026</w:t>
            </w:r>
          </w:p>
        </w:tc>
      </w:tr>
    </w:tbl>
    <w:p>
      <w:pPr>
        <w:sectPr>
          <w:pgSz w:w="11900" w:h="16838" w:orient="portrait"/>
          <w:cols w:equalWidth="0" w:num="1">
            <w:col w:w="11300"/>
          </w:cols>
          <w:pgMar w:left="300" w:top="1037"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1"/>
          <w:szCs w:val="11"/>
          <w:b w:val="1"/>
          <w:bCs w:val="1"/>
          <w:color w:val="auto"/>
        </w:rPr>
        <w:t>SIGNATURES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1"/>
          <w:szCs w:val="11"/>
          <w:b w:val="1"/>
          <w:bCs w:val="1"/>
          <w:color w:val="auto"/>
        </w:rPr>
        <w:t>ARGENX SE</w:t>
      </w:r>
    </w:p>
    <w:p>
      <w:pPr>
        <w:spacing w:after="0" w:line="27" w:lineRule="exact"/>
        <w:rPr>
          <w:sz w:val="20"/>
          <w:szCs w:val="20"/>
          <w:color w:val="auto"/>
        </w:rPr>
      </w:pPr>
    </w:p>
    <w:p>
      <w:pPr>
        <w:ind w:left="20"/>
        <w:spacing w:after="0"/>
        <w:tabs>
          <w:tab w:leader="none" w:pos="6980" w:val="left"/>
        </w:tabs>
        <w:rPr>
          <w:sz w:val="20"/>
          <w:szCs w:val="20"/>
          <w:color w:val="auto"/>
        </w:rPr>
      </w:pPr>
      <w:r>
        <w:rPr>
          <w:rFonts w:ascii="Times New Roman" w:cs="Times New Roman" w:eastAsia="Times New Roman" w:hAnsi="Times New Roman"/>
          <w:sz w:val="11"/>
          <w:szCs w:val="11"/>
          <w:color w:val="auto"/>
        </w:rPr>
        <w:t>Date: May 7, 2026</w:t>
      </w:r>
      <w:r>
        <w:rPr>
          <w:sz w:val="20"/>
          <w:szCs w:val="20"/>
          <w:color w:val="auto"/>
        </w:rPr>
        <w:tab/>
      </w:r>
      <w:r>
        <w:rPr>
          <w:rFonts w:ascii="Times New Roman" w:cs="Times New Roman" w:eastAsia="Times New Roman" w:hAnsi="Times New Roman"/>
          <w:sz w:val="10"/>
          <w:szCs w:val="10"/>
          <w:color w:val="auto"/>
        </w:rPr>
        <w:t>By: /s/ Hemamalini (Malini) Moorthy</w:t>
      </w:r>
    </w:p>
    <w:p>
      <w:pPr>
        <w:spacing w:after="0" w:line="4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1"/>
          <w:szCs w:val="11"/>
          <w:color w:val="auto"/>
        </w:rPr>
        <w:t>Hemamalini (Malini) Moorthy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-79375</wp:posOffset>
            </wp:positionV>
            <wp:extent cx="262318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623185" cy="5715"/>
                    </a:xfrm>
                    <a:prstGeom prst="rect">
                      <a:avLst/>
                    </a:prstGeom>
                    <a:noFill/>
                  </pic:spPr>
                </pic:pic>
              </a:graphicData>
            </a:graphic>
          </wp:anchor>
        </w:drawing>
      </w:r>
    </w:p>
    <w:p>
      <w:pPr>
        <w:ind w:left="7220"/>
        <w:spacing w:after="0"/>
        <w:rPr>
          <w:sz w:val="20"/>
          <w:szCs w:val="20"/>
          <w:color w:val="auto"/>
        </w:rPr>
      </w:pPr>
      <w:r>
        <w:rPr>
          <w:rFonts w:ascii="Times New Roman" w:cs="Times New Roman" w:eastAsia="Times New Roman" w:hAnsi="Times New Roman"/>
          <w:sz w:val="11"/>
          <w:szCs w:val="1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145" w:right="1440" w:bottom="1440" w:gutter="0" w:footer="0" w:header="0"/>
        </w:sectPr>
      </w:pPr>
    </w:p>
    <w:bookmarkStart w:id="3" w:name="page4"/>
    <w:bookmarkEnd w:id="3"/>
    <w:p>
      <w:pPr>
        <w:ind w:left="350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425450</wp:posOffset>
            </wp:positionH>
            <wp:positionV relativeFrom="page">
              <wp:posOffset>88900</wp:posOffset>
            </wp:positionV>
            <wp:extent cx="77724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argenx Reports First Quarter 2026 Financial Results and Provides Business Update</w:t>
      </w:r>
    </w:p>
    <w:p>
      <w:pPr>
        <w:spacing w:after="0" w:line="108" w:lineRule="exact"/>
        <w:rPr>
          <w:sz w:val="20"/>
          <w:szCs w:val="20"/>
          <w:color w:val="auto"/>
        </w:rPr>
      </w:pPr>
    </w:p>
    <w:p>
      <w:pPr>
        <w:ind w:left="3460"/>
        <w:spacing w:after="0"/>
        <w:rPr>
          <w:sz w:val="20"/>
          <w:szCs w:val="20"/>
          <w:color w:val="auto"/>
        </w:rPr>
      </w:pPr>
      <w:r>
        <w:rPr>
          <w:rFonts w:ascii="Arial" w:cs="Arial" w:eastAsia="Arial" w:hAnsi="Arial"/>
          <w:sz w:val="11"/>
          <w:szCs w:val="11"/>
          <w:i w:val="1"/>
          <w:iCs w:val="1"/>
          <w:color w:val="auto"/>
        </w:rPr>
        <w:t>$1.3 billion in first quarter global product net sales, representing 63% year-over-year growth</w:t>
      </w:r>
    </w:p>
    <w:p>
      <w:pPr>
        <w:spacing w:after="0" w:line="108" w:lineRule="exact"/>
        <w:rPr>
          <w:sz w:val="20"/>
          <w:szCs w:val="20"/>
          <w:color w:val="auto"/>
        </w:rPr>
      </w:pPr>
    </w:p>
    <w:p>
      <w:pPr>
        <w:ind w:left="3840"/>
        <w:spacing w:after="0"/>
        <w:rPr>
          <w:sz w:val="20"/>
          <w:szCs w:val="20"/>
          <w:color w:val="auto"/>
        </w:rPr>
      </w:pPr>
      <w:r>
        <w:rPr>
          <w:rFonts w:ascii="Arial" w:cs="Arial" w:eastAsia="Arial" w:hAnsi="Arial"/>
          <w:sz w:val="11"/>
          <w:szCs w:val="11"/>
          <w:i w:val="1"/>
          <w:iCs w:val="1"/>
          <w:color w:val="auto"/>
        </w:rPr>
        <w:t>Anti-AChR antibody negative (“seronegative”) gMG PDUFA is May 10, 2026</w:t>
      </w:r>
    </w:p>
    <w:p>
      <w:pPr>
        <w:spacing w:after="0" w:line="99" w:lineRule="exact"/>
        <w:rPr>
          <w:sz w:val="20"/>
          <w:szCs w:val="20"/>
          <w:color w:val="auto"/>
        </w:rPr>
      </w:pPr>
    </w:p>
    <w:p>
      <w:pPr>
        <w:ind w:left="3780"/>
        <w:spacing w:after="0"/>
        <w:rPr>
          <w:sz w:val="20"/>
          <w:szCs w:val="20"/>
          <w:color w:val="auto"/>
        </w:rPr>
      </w:pPr>
      <w:r>
        <w:rPr>
          <w:rFonts w:ascii="Arial" w:cs="Arial" w:eastAsia="Arial" w:hAnsi="Arial"/>
          <w:sz w:val="11"/>
          <w:szCs w:val="11"/>
          <w:i w:val="1"/>
          <w:iCs w:val="1"/>
          <w:color w:val="auto"/>
        </w:rPr>
        <w:t>Management to host conference call today at 2:30 PM CET (8:30 AM ET)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May 7, 2026, 7:00AM CET</w:t>
      </w:r>
    </w:p>
    <w:p>
      <w:pPr>
        <w:spacing w:after="0" w:line="108" w:lineRule="exact"/>
        <w:rPr>
          <w:sz w:val="20"/>
          <w:szCs w:val="20"/>
          <w:color w:val="auto"/>
        </w:rPr>
      </w:pPr>
    </w:p>
    <w:p>
      <w:pPr>
        <w:jc w:val="both"/>
        <w:ind w:right="20"/>
        <w:spacing w:after="0" w:line="302" w:lineRule="auto"/>
        <w:rPr>
          <w:sz w:val="20"/>
          <w:szCs w:val="20"/>
          <w:color w:val="auto"/>
        </w:rPr>
      </w:pPr>
      <w:r>
        <w:rPr>
          <w:rFonts w:ascii="Arial" w:cs="Arial" w:eastAsia="Arial" w:hAnsi="Arial"/>
          <w:sz w:val="11"/>
          <w:szCs w:val="11"/>
          <w:b w:val="1"/>
          <w:bCs w:val="1"/>
          <w:color w:val="auto"/>
        </w:rPr>
        <w:t xml:space="preserve">Amsterdam, the Netherlands </w:t>
      </w:r>
      <w:r>
        <w:rPr>
          <w:rFonts w:ascii="Arial" w:cs="Arial" w:eastAsia="Arial" w:hAnsi="Arial"/>
          <w:sz w:val="11"/>
          <w:szCs w:val="11"/>
          <w:color w:val="auto"/>
        </w:rPr>
        <w:t>– argenx SE (Euronext &amp; Nasdaq: ARGX), a global immunology company committed to improving the lives of people suffering from severe autoimmune diseases, today announced its first quarter 2026</w:t>
      </w:r>
      <w:r>
        <w:rPr>
          <w:rFonts w:ascii="Arial" w:cs="Arial" w:eastAsia="Arial" w:hAnsi="Arial"/>
          <w:sz w:val="11"/>
          <w:szCs w:val="11"/>
          <w:b w:val="1"/>
          <w:bCs w:val="1"/>
          <w:color w:val="auto"/>
        </w:rPr>
        <w:t xml:space="preserve"> </w:t>
      </w:r>
      <w:r>
        <w:rPr>
          <w:rFonts w:ascii="Arial" w:cs="Arial" w:eastAsia="Arial" w:hAnsi="Arial"/>
          <w:sz w:val="11"/>
          <w:szCs w:val="11"/>
          <w:color w:val="auto"/>
        </w:rPr>
        <w:t>results and provided a business update.</w:t>
      </w:r>
    </w:p>
    <w:p>
      <w:pPr>
        <w:spacing w:after="0" w:line="78"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“argenx continues to deliver meaningful impact for patients, reflected by our 17th consecutive quarter of VYVGART growth,” said Karen Massey, Chief Executive Officer of argenx. “Looking ahead, VYVGART has the potential to become the first and only approved therapy across MG, pending FDA decisions on label expansions into seronegative and ocular populations. At the same time, we are extending our leadership in FcRn into rheumatology, beginning with the upcoming myositis readout. Our next pipeline candidate, empasiprubart, is progressing toward its first registrational readout in MMN, and we continue to advance a broad and differentiated pipeline. With these opportunities, we remain focused on delivering transformative outcomes for patients while creating sustained value for all stakeholders.”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Vision 2030</w:t>
      </w:r>
    </w:p>
    <w:p>
      <w:pPr>
        <w:spacing w:after="0" w:line="126" w:lineRule="exact"/>
        <w:rPr>
          <w:sz w:val="20"/>
          <w:szCs w:val="20"/>
          <w:color w:val="auto"/>
        </w:rPr>
      </w:pPr>
    </w:p>
    <w:p>
      <w:pPr>
        <w:ind w:right="520"/>
        <w:spacing w:after="0" w:line="452" w:lineRule="auto"/>
        <w:rPr>
          <w:sz w:val="20"/>
          <w:szCs w:val="20"/>
          <w:color w:val="auto"/>
        </w:rPr>
      </w:pPr>
      <w:r>
        <w:rPr>
          <w:rFonts w:ascii="Arial" w:cs="Arial" w:eastAsia="Arial" w:hAnsi="Arial"/>
          <w:sz w:val="11"/>
          <w:szCs w:val="11"/>
          <w:color w:val="auto"/>
        </w:rPr>
        <w:t xml:space="preserve">argenx continues to advance its ‘Vision 2030’ anchored in the ambition to treat 50,000 patients globally with its medicines, secure 10 labeled indications, and progress five pipeline candidates into Phase 3 development by 2030. </w:t>
      </w:r>
      <w:r>
        <w:rPr>
          <w:rFonts w:ascii="Arial" w:cs="Arial" w:eastAsia="Arial" w:hAnsi="Arial"/>
          <w:sz w:val="11"/>
          <w:szCs w:val="11"/>
          <w:b w:val="1"/>
          <w:bCs w:val="1"/>
          <w:color w:val="auto"/>
        </w:rPr>
        <w:t>Expanding global VYVGART opportunity and shaping the long-term future of FcRn</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VYVGART® (IV: efgartigimod alfa-fcab and SC: efgartigimod alfa and hyaluronidase-qvfc) is a first-and-only IgG Fc-antibody fragment that targets the neonatal Fc receptor (FcRn). It is approved in three indications, including generalized myasthenia gravis (gMG) and chronic inflammatory demyelinating polyneuropathy (CIDP) globally, and primary immune thrombocytopenia (ITP) in Japan. argenx is driving broad adoption as the leading precision biologic in MG and CIDP while advancing multiple label expansions. argenx is also shaping the future of FcRn medicines by advancing new pipeline candidates and delivery modalities.</w:t>
      </w:r>
    </w:p>
    <w:p>
      <w:pPr>
        <w:spacing w:after="0" w:line="86"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Generated $1.3 billion in global product net sales in the first quarter of 2026, representing an increase of approximately 63% or $0.5 billion in year-over-year growth</w:t>
      </w:r>
    </w:p>
    <w:p>
      <w:pPr>
        <w:spacing w:after="0" w:line="116"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Prescription Drug User Fee Act (PDUFA) target action date for anti-acetylcholine receptor antibody negative (AChR-Ab-) gMG (MuSK+, LRP4+ and triple seronegative) is May 10, 2026</w:t>
      </w:r>
    </w:p>
    <w:p>
      <w:pPr>
        <w:spacing w:after="0" w:line="98"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Positive topline results from ADAPT OCULUS were recently presented at AAN; these data support planned sBLA submission to expand VYVGART label into oMG</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Topline results from ALKIVIA study (myositis) expected in third quarter of 2026</w:t>
      </w:r>
    </w:p>
    <w:p>
      <w:pPr>
        <w:spacing w:after="0" w:line="98"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Topline results from ADVANCE-NEXT study (primary ITP) expected in first half of 2027</w:t>
      </w:r>
    </w:p>
    <w:p>
      <w:pPr>
        <w:spacing w:after="0" w:line="98"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Registrational study in Graves’ disease (GD) expected to initiate in 2026, expanding development into thyroid-driven autoimmunity</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Topline results from UNITY study (Sjogren’s disease) expected in second half of 2027</w:t>
      </w:r>
    </w:p>
    <w:p>
      <w:pPr>
        <w:spacing w:after="0" w:line="98"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VYVGART SC autoinjector expected to launch in 2027 for all approved indications</w:t>
      </w:r>
    </w:p>
    <w:p>
      <w:pPr>
        <w:spacing w:after="0" w:line="65" w:lineRule="exact"/>
        <w:rPr>
          <w:rFonts w:ascii="Arial" w:cs="Arial" w:eastAsia="Arial" w:hAnsi="Arial"/>
          <w:sz w:val="11"/>
          <w:szCs w:val="11"/>
          <w:color w:val="auto"/>
        </w:rPr>
      </w:pPr>
    </w:p>
    <w:p>
      <w:pPr>
        <w:ind w:left="420" w:hanging="212"/>
        <w:spacing w:after="0" w:line="127" w:lineRule="exact"/>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Progressing two future FcRn molecules: ARGX</w:t>
      </w:r>
      <w:r>
        <w:rPr>
          <w:rFonts w:ascii="MS PGothic" w:cs="MS PGothic" w:eastAsia="MS PGothic" w:hAnsi="MS PGothic"/>
          <w:sz w:val="11"/>
          <w:szCs w:val="11"/>
          <w:color w:val="auto"/>
        </w:rPr>
        <w:t>‑</w:t>
      </w:r>
      <w:r>
        <w:rPr>
          <w:rFonts w:ascii="Arial" w:cs="Arial" w:eastAsia="Arial" w:hAnsi="Arial"/>
          <w:sz w:val="11"/>
          <w:szCs w:val="11"/>
          <w:color w:val="auto"/>
        </w:rPr>
        <w:t>213 is Phase 3-ready and ARGX</w:t>
      </w:r>
      <w:r>
        <w:rPr>
          <w:rFonts w:ascii="MS PGothic" w:cs="MS PGothic" w:eastAsia="MS PGothic" w:hAnsi="MS PGothic"/>
          <w:sz w:val="11"/>
          <w:szCs w:val="11"/>
          <w:color w:val="auto"/>
        </w:rPr>
        <w:t>‑</w:t>
      </w:r>
      <w:r>
        <w:rPr>
          <w:rFonts w:ascii="Arial" w:cs="Arial" w:eastAsia="Arial" w:hAnsi="Arial"/>
          <w:sz w:val="11"/>
          <w:szCs w:val="11"/>
          <w:color w:val="auto"/>
        </w:rPr>
        <w:t>124 is in Phase 1</w:t>
      </w:r>
    </w:p>
    <w:p>
      <w:pPr>
        <w:sectPr>
          <w:pgSz w:w="11900" w:h="16838" w:orient="portrait"/>
          <w:cols w:equalWidth="0" w:num="1">
            <w:col w:w="11300"/>
          </w:cols>
          <w:pgMar w:left="300" w:top="1373" w:right="299" w:bottom="1440" w:gutter="0" w:footer="0" w:header="0"/>
        </w:sectPr>
      </w:pPr>
    </w:p>
    <w:bookmarkStart w:id="4" w:name="page5"/>
    <w:bookmarkEnd w:id="4"/>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425450</wp:posOffset>
            </wp:positionH>
            <wp:positionV relativeFrom="page">
              <wp:posOffset>88900</wp:posOffset>
            </wp:positionV>
            <wp:extent cx="77724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Advancing empasiprubart</w:t>
      </w:r>
    </w:p>
    <w:p>
      <w:pPr>
        <w:spacing w:after="0" w:line="92" w:lineRule="exact"/>
        <w:rPr>
          <w:sz w:val="20"/>
          <w:szCs w:val="20"/>
          <w:color w:val="auto"/>
        </w:rPr>
      </w:pPr>
    </w:p>
    <w:p>
      <w:pPr>
        <w:spacing w:after="0" w:line="155" w:lineRule="exact"/>
        <w:rPr>
          <w:sz w:val="20"/>
          <w:szCs w:val="20"/>
          <w:color w:val="auto"/>
        </w:rPr>
      </w:pPr>
      <w:r>
        <w:rPr>
          <w:rFonts w:ascii="Arial" w:cs="Arial" w:eastAsia="Arial" w:hAnsi="Arial"/>
          <w:sz w:val="11"/>
          <w:szCs w:val="11"/>
          <w:color w:val="auto"/>
        </w:rPr>
        <w:t>Empasiprubart is a first</w:t>
      </w:r>
      <w:r>
        <w:rPr>
          <w:rFonts w:ascii="MS PGothic" w:cs="MS PGothic" w:eastAsia="MS PGothic" w:hAnsi="MS PGothic"/>
          <w:sz w:val="11"/>
          <w:szCs w:val="11"/>
          <w:color w:val="auto"/>
        </w:rPr>
        <w:t>‑</w:t>
      </w:r>
      <w:r>
        <w:rPr>
          <w:rFonts w:ascii="Arial" w:cs="Arial" w:eastAsia="Arial" w:hAnsi="Arial"/>
          <w:sz w:val="11"/>
          <w:szCs w:val="11"/>
          <w:color w:val="auto"/>
        </w:rPr>
        <w:t>in</w:t>
      </w:r>
      <w:r>
        <w:rPr>
          <w:rFonts w:ascii="MS PGothic" w:cs="MS PGothic" w:eastAsia="MS PGothic" w:hAnsi="MS PGothic"/>
          <w:sz w:val="11"/>
          <w:szCs w:val="11"/>
          <w:color w:val="auto"/>
        </w:rPr>
        <w:t>‑</w:t>
      </w:r>
      <w:r>
        <w:rPr>
          <w:rFonts w:ascii="Arial" w:cs="Arial" w:eastAsia="Arial" w:hAnsi="Arial"/>
          <w:sz w:val="11"/>
          <w:szCs w:val="11"/>
          <w:color w:val="auto"/>
        </w:rPr>
        <w:t>class, humanized monoclonal antibody designed to inhibit complement factor C2, selectively blocking activation of the classical and lectin complement pathways. It is being evaluated in registrational studies in multifocal motor neuropathy (MMN) and CIDP, and in a combination study with VYVGART in gMG.</w:t>
      </w:r>
    </w:p>
    <w:p>
      <w:pPr>
        <w:spacing w:after="0" w:line="111"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Topline results from EMPASSION study (MMN) expected in fourth quarter of 2026</w:t>
      </w:r>
    </w:p>
    <w:p>
      <w:pPr>
        <w:spacing w:after="0" w:line="125" w:lineRule="exact"/>
        <w:rPr>
          <w:rFonts w:ascii="Arial" w:cs="Arial" w:eastAsia="Arial" w:hAnsi="Arial"/>
          <w:sz w:val="11"/>
          <w:szCs w:val="11"/>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Topline results from EMVIGORATE and EMNERGIZE studies (CIDP) expected in second half of 2027</w:t>
      </w:r>
    </w:p>
    <w:p>
      <w:pPr>
        <w:spacing w:after="0" w:line="125" w:lineRule="exact"/>
        <w:rPr>
          <w:rFonts w:ascii="Arial" w:cs="Arial" w:eastAsia="Arial" w:hAnsi="Arial"/>
          <w:sz w:val="11"/>
          <w:szCs w:val="11"/>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Decision for Phase 2 VARVARA study (Delayed Graft Function) expected mid-year 2026 following completion of 52-week efficacy analysis</w:t>
      </w:r>
    </w:p>
    <w:p>
      <w:pPr>
        <w:spacing w:after="0" w:line="125" w:lineRule="exact"/>
        <w:rPr>
          <w:rFonts w:ascii="Arial" w:cs="Arial" w:eastAsia="Arial" w:hAnsi="Arial"/>
          <w:sz w:val="11"/>
          <w:szCs w:val="11"/>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ADAPT-Forward combination study ongoing to evaluate empasiprubart as an add on therapy to efgartigimod in gMG</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Delivering next wave of immunology innovation</w:t>
      </w:r>
    </w:p>
    <w:p>
      <w:pPr>
        <w:spacing w:after="0" w:line="83" w:lineRule="exact"/>
        <w:rPr>
          <w:sz w:val="20"/>
          <w:szCs w:val="20"/>
          <w:color w:val="auto"/>
        </w:rPr>
      </w:pPr>
    </w:p>
    <w:p>
      <w:pPr>
        <w:spacing w:after="0" w:line="162" w:lineRule="exact"/>
        <w:rPr>
          <w:sz w:val="20"/>
          <w:szCs w:val="20"/>
          <w:color w:val="auto"/>
        </w:rPr>
      </w:pPr>
      <w:r>
        <w:rPr>
          <w:rFonts w:ascii="Arial" w:cs="Arial" w:eastAsia="Arial" w:hAnsi="Arial"/>
          <w:sz w:val="11"/>
          <w:szCs w:val="11"/>
          <w:color w:val="auto"/>
        </w:rPr>
        <w:t>By the end of 2026, the argenx pipeline is expected to include a total of ten molecules in clinical development. Beyond efgartigimod and empasiprubart, this includes adimanebart (a MuSK agonist); ARGX</w:t>
      </w:r>
      <w:r>
        <w:rPr>
          <w:rFonts w:ascii="MS PGothic" w:cs="MS PGothic" w:eastAsia="MS PGothic" w:hAnsi="MS PGothic"/>
          <w:sz w:val="11"/>
          <w:szCs w:val="11"/>
          <w:color w:val="auto"/>
        </w:rPr>
        <w:t>‑</w:t>
      </w:r>
      <w:r>
        <w:rPr>
          <w:rFonts w:ascii="Arial" w:cs="Arial" w:eastAsia="Arial" w:hAnsi="Arial"/>
          <w:sz w:val="11"/>
          <w:szCs w:val="11"/>
          <w:color w:val="auto"/>
        </w:rPr>
        <w:t>121 (anti</w:t>
      </w:r>
      <w:r>
        <w:rPr>
          <w:rFonts w:ascii="MS PGothic" w:cs="MS PGothic" w:eastAsia="MS PGothic" w:hAnsi="MS PGothic"/>
          <w:sz w:val="11"/>
          <w:szCs w:val="11"/>
          <w:color w:val="auto"/>
        </w:rPr>
        <w:t>‑</w:t>
      </w:r>
      <w:r>
        <w:rPr>
          <w:rFonts w:ascii="Arial" w:cs="Arial" w:eastAsia="Arial" w:hAnsi="Arial"/>
          <w:sz w:val="11"/>
          <w:szCs w:val="11"/>
          <w:color w:val="auto"/>
        </w:rPr>
        <w:t>IgA), ARGX</w:t>
      </w:r>
      <w:r>
        <w:rPr>
          <w:rFonts w:ascii="MS PGothic" w:cs="MS PGothic" w:eastAsia="MS PGothic" w:hAnsi="MS PGothic"/>
          <w:sz w:val="11"/>
          <w:szCs w:val="11"/>
          <w:color w:val="auto"/>
        </w:rPr>
        <w:t>‑</w:t>
      </w:r>
      <w:r>
        <w:rPr>
          <w:rFonts w:ascii="Arial" w:cs="Arial" w:eastAsia="Arial" w:hAnsi="Arial"/>
          <w:sz w:val="11"/>
          <w:szCs w:val="11"/>
          <w:color w:val="auto"/>
        </w:rPr>
        <w:t>109 (anti</w:t>
      </w:r>
      <w:r>
        <w:rPr>
          <w:rFonts w:ascii="MS PGothic" w:cs="MS PGothic" w:eastAsia="MS PGothic" w:hAnsi="MS PGothic"/>
          <w:sz w:val="11"/>
          <w:szCs w:val="11"/>
          <w:color w:val="auto"/>
        </w:rPr>
        <w:t>‑</w:t>
      </w:r>
      <w:r>
        <w:rPr>
          <w:rFonts w:ascii="Arial" w:cs="Arial" w:eastAsia="Arial" w:hAnsi="Arial"/>
          <w:sz w:val="11"/>
          <w:szCs w:val="11"/>
          <w:color w:val="auto"/>
        </w:rPr>
        <w:t>IL</w:t>
      </w:r>
      <w:r>
        <w:rPr>
          <w:rFonts w:ascii="MS PGothic" w:cs="MS PGothic" w:eastAsia="MS PGothic" w:hAnsi="MS PGothic"/>
          <w:sz w:val="11"/>
          <w:szCs w:val="11"/>
          <w:color w:val="auto"/>
        </w:rPr>
        <w:t>‑</w:t>
      </w:r>
      <w:r>
        <w:rPr>
          <w:rFonts w:ascii="Arial" w:cs="Arial" w:eastAsia="Arial" w:hAnsi="Arial"/>
          <w:sz w:val="11"/>
          <w:szCs w:val="11"/>
          <w:color w:val="auto"/>
        </w:rPr>
        <w:t>6), and three additional molecules from the Immunology Innovation Program (IIP). Collectively, these programs support argenx’s goal of launching, on average, one new pipeline candidate per year.</w:t>
      </w:r>
    </w:p>
    <w:p>
      <w:pPr>
        <w:spacing w:after="0" w:line="88"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Adimanebart CMS registrational study on track to start in third quarter of 2026</w:t>
      </w:r>
    </w:p>
    <w:p>
      <w:pPr>
        <w:spacing w:after="0" w:line="107"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Phase 2 study of ARGX-121 in IgA nephropathy (IgAN) expected to start in 2026</w:t>
      </w:r>
    </w:p>
    <w:p>
      <w:pPr>
        <w:spacing w:after="0" w:line="83" w:lineRule="exact"/>
        <w:rPr>
          <w:rFonts w:ascii="Arial" w:cs="Arial" w:eastAsia="Arial" w:hAnsi="Arial"/>
          <w:sz w:val="11"/>
          <w:szCs w:val="11"/>
          <w:color w:val="auto"/>
        </w:rPr>
      </w:pPr>
    </w:p>
    <w:p>
      <w:pPr>
        <w:ind w:left="420" w:hanging="212"/>
        <w:spacing w:after="0" w:line="146" w:lineRule="exact"/>
        <w:tabs>
          <w:tab w:leader="none" w:pos="413" w:val="left"/>
        </w:tabs>
        <w:numPr>
          <w:ilvl w:val="0"/>
          <w:numId w:val="3"/>
        </w:numPr>
        <w:rPr>
          <w:rFonts w:ascii="Arial" w:cs="Arial" w:eastAsia="Arial" w:hAnsi="Arial"/>
          <w:sz w:val="11"/>
          <w:szCs w:val="11"/>
          <w:color w:val="auto"/>
        </w:rPr>
      </w:pPr>
      <w:r>
        <w:rPr>
          <w:rFonts w:ascii="Arial" w:cs="Arial" w:eastAsia="Arial" w:hAnsi="Arial"/>
          <w:sz w:val="11"/>
          <w:szCs w:val="11"/>
          <w:color w:val="auto"/>
        </w:rPr>
        <w:t>Three new first-in-class molecules on track to enter Phase 1 in 2026, including ARGX</w:t>
      </w:r>
      <w:r>
        <w:rPr>
          <w:rFonts w:ascii="MS PGothic" w:cs="MS PGothic" w:eastAsia="MS PGothic" w:hAnsi="MS PGothic"/>
          <w:sz w:val="11"/>
          <w:szCs w:val="11"/>
          <w:color w:val="auto"/>
        </w:rPr>
        <w:t>‑</w:t>
      </w:r>
      <w:r>
        <w:rPr>
          <w:rFonts w:ascii="Arial" w:cs="Arial" w:eastAsia="Arial" w:hAnsi="Arial"/>
          <w:sz w:val="11"/>
          <w:szCs w:val="11"/>
          <w:color w:val="auto"/>
        </w:rPr>
        <w:t>118 (Galectin</w:t>
      </w:r>
      <w:r>
        <w:rPr>
          <w:rFonts w:ascii="MS PGothic" w:cs="MS PGothic" w:eastAsia="MS PGothic" w:hAnsi="MS PGothic"/>
          <w:sz w:val="11"/>
          <w:szCs w:val="11"/>
          <w:color w:val="auto"/>
        </w:rPr>
        <w:t>‑</w:t>
      </w:r>
      <w:r>
        <w:rPr>
          <w:rFonts w:ascii="Arial" w:cs="Arial" w:eastAsia="Arial" w:hAnsi="Arial"/>
          <w:sz w:val="11"/>
          <w:szCs w:val="11"/>
          <w:color w:val="auto"/>
        </w:rPr>
        <w:t>10 inhibitor), ARGX</w:t>
      </w:r>
      <w:r>
        <w:rPr>
          <w:rFonts w:ascii="MS PGothic" w:cs="MS PGothic" w:eastAsia="MS PGothic" w:hAnsi="MS PGothic"/>
          <w:sz w:val="11"/>
          <w:szCs w:val="11"/>
          <w:color w:val="auto"/>
        </w:rPr>
        <w:t>‑</w:t>
      </w:r>
      <w:r>
        <w:rPr>
          <w:rFonts w:ascii="Arial" w:cs="Arial" w:eastAsia="Arial" w:hAnsi="Arial"/>
          <w:sz w:val="11"/>
          <w:szCs w:val="11"/>
          <w:color w:val="auto"/>
        </w:rPr>
        <w:t>125 (bispecific antibody), and TSP</w:t>
      </w:r>
      <w:r>
        <w:rPr>
          <w:rFonts w:ascii="MS PGothic" w:cs="MS PGothic" w:eastAsia="MS PGothic" w:hAnsi="MS PGothic"/>
          <w:sz w:val="11"/>
          <w:szCs w:val="11"/>
          <w:color w:val="auto"/>
        </w:rPr>
        <w:t>‑</w:t>
      </w:r>
      <w:r>
        <w:rPr>
          <w:rFonts w:ascii="Arial" w:cs="Arial" w:eastAsia="Arial" w:hAnsi="Arial"/>
          <w:sz w:val="11"/>
          <w:szCs w:val="11"/>
          <w:color w:val="auto"/>
        </w:rPr>
        <w:t>101, the Fn14</w:t>
      </w:r>
      <w:r>
        <w:rPr>
          <w:rFonts w:ascii="MS PGothic" w:cs="MS PGothic" w:eastAsia="MS PGothic" w:hAnsi="MS PGothic"/>
          <w:sz w:val="11"/>
          <w:szCs w:val="11"/>
          <w:color w:val="auto"/>
        </w:rPr>
        <w:t>‑</w:t>
      </w:r>
      <w:r>
        <w:rPr>
          <w:rFonts w:ascii="Arial" w:cs="Arial" w:eastAsia="Arial" w:hAnsi="Arial"/>
          <w:sz w:val="11"/>
          <w:szCs w:val="11"/>
          <w:color w:val="auto"/>
        </w:rPr>
        <w:t>targeting program from the Tensegrity research collaboration</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Key business highlights</w:t>
      </w:r>
    </w:p>
    <w:p>
      <w:pPr>
        <w:spacing w:after="0" w:line="108" w:lineRule="exact"/>
        <w:rPr>
          <w:sz w:val="20"/>
          <w:szCs w:val="20"/>
          <w:color w:val="auto"/>
        </w:rPr>
      </w:pPr>
    </w:p>
    <w:p>
      <w:pPr>
        <w:ind w:left="420" w:right="20" w:hanging="212"/>
        <w:spacing w:after="0" w:line="302" w:lineRule="auto"/>
        <w:tabs>
          <w:tab w:leader="none" w:pos="413" w:val="left"/>
        </w:tabs>
        <w:numPr>
          <w:ilvl w:val="0"/>
          <w:numId w:val="4"/>
        </w:numPr>
        <w:rPr>
          <w:rFonts w:ascii="Arial" w:cs="Arial" w:eastAsia="Arial" w:hAnsi="Arial"/>
          <w:sz w:val="11"/>
          <w:szCs w:val="11"/>
          <w:color w:val="auto"/>
        </w:rPr>
      </w:pPr>
      <w:r>
        <w:rPr>
          <w:rFonts w:ascii="Arial" w:cs="Arial" w:eastAsia="Arial" w:hAnsi="Arial"/>
          <w:sz w:val="11"/>
          <w:szCs w:val="11"/>
          <w:color w:val="auto"/>
        </w:rPr>
        <w:t>On May 6, 2026, Karen Massey was appointed Chief Executive Officer and executive director of the argenx Board of Directors following the Annual General Meeting of Shareholders. Tim Van Hauwermeiren was appointed non-executive director and Chairperson of the Board of Directors</w:t>
      </w:r>
    </w:p>
    <w:p>
      <w:pPr>
        <w:spacing w:after="0" w:line="77"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March 2026, argenx expanded its global presence in Asia with the establishment of an argenx affiliate in China to broaden its access to novel biology and support early-stage research</w:t>
      </w:r>
    </w:p>
    <w:p>
      <w:pPr>
        <w:sectPr>
          <w:pgSz w:w="11900" w:h="16838" w:orient="portrait"/>
          <w:cols w:equalWidth="0" w:num="1">
            <w:col w:w="11300"/>
          </w:cols>
          <w:pgMar w:left="300" w:top="1094" w:right="2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425450</wp:posOffset>
            </wp:positionH>
            <wp:positionV relativeFrom="page">
              <wp:posOffset>88900</wp:posOffset>
            </wp:positionV>
            <wp:extent cx="77724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FIRST QUARTER 2026 FINANCIAL RESULTS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argenx 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UNAUDITED CONDENSED CONSOLIDATED INTERIM STATEMENTS OF PROFIT OR LOSS</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131"/>
        </w:trPr>
        <w:tc>
          <w:tcPr>
            <w:tcW w:w="4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20" w:type="dxa"/>
            <w:vAlign w:val="bottom"/>
            <w:gridSpan w:val="4"/>
          </w:tcPr>
          <w:p>
            <w:pPr>
              <w:jc w:val="center"/>
              <w:ind w:left="192"/>
              <w:spacing w:after="0"/>
              <w:rPr>
                <w:sz w:val="20"/>
                <w:szCs w:val="20"/>
                <w:color w:val="auto"/>
              </w:rPr>
            </w:pPr>
            <w:r>
              <w:rPr>
                <w:rFonts w:ascii="Arial" w:cs="Arial" w:eastAsia="Arial" w:hAnsi="Arial"/>
                <w:sz w:val="10"/>
                <w:szCs w:val="10"/>
                <w:b w:val="1"/>
                <w:bCs w:val="1"/>
                <w:color w:val="auto"/>
                <w:w w:val="97"/>
              </w:rPr>
              <w:t>Three Months Ended</w:t>
            </w:r>
          </w:p>
        </w:tc>
        <w:tc>
          <w:tcPr>
            <w:tcW w:w="1200" w:type="dxa"/>
            <w:vAlign w:val="bottom"/>
          </w:tcPr>
          <w:p>
            <w:pPr>
              <w:spacing w:after="0"/>
              <w:rPr>
                <w:sz w:val="11"/>
                <w:szCs w:val="11"/>
                <w:color w:val="auto"/>
              </w:rPr>
            </w:pPr>
          </w:p>
        </w:tc>
      </w:tr>
      <w:tr>
        <w:trPr>
          <w:trHeight w:val="135"/>
        </w:trPr>
        <w:tc>
          <w:tcPr>
            <w:tcW w:w="4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center"/>
              <w:ind w:left="1092"/>
              <w:spacing w:after="0"/>
              <w:rPr>
                <w:sz w:val="20"/>
                <w:szCs w:val="20"/>
                <w:color w:val="auto"/>
              </w:rPr>
            </w:pPr>
            <w:r>
              <w:rPr>
                <w:rFonts w:ascii="Arial" w:cs="Arial" w:eastAsia="Arial" w:hAnsi="Arial"/>
                <w:sz w:val="10"/>
                <w:szCs w:val="10"/>
                <w:b w:val="1"/>
                <w:bCs w:val="1"/>
                <w:color w:val="auto"/>
                <w:w w:val="95"/>
              </w:rPr>
              <w:t>March 31,</w:t>
            </w:r>
          </w:p>
        </w:tc>
        <w:tc>
          <w:tcPr>
            <w:tcW w:w="9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5"/>
        </w:trPr>
        <w:tc>
          <w:tcPr>
            <w:tcW w:w="49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 of $ except for per share data)</w:t>
            </w:r>
          </w:p>
        </w:tc>
        <w:tc>
          <w:tcPr>
            <w:tcW w:w="22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2026</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r>
      <w:tr>
        <w:trPr>
          <w:trHeight w:val="125"/>
        </w:trPr>
        <w:tc>
          <w:tcPr>
            <w:tcW w:w="5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Product net sales</w:t>
            </w:r>
          </w:p>
        </w:tc>
        <w:tc>
          <w:tcPr>
            <w:tcW w:w="94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1,298</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790</w:t>
            </w:r>
          </w:p>
        </w:tc>
      </w:tr>
      <w:tr>
        <w:trPr>
          <w:trHeight w:val="132"/>
        </w:trPr>
        <w:tc>
          <w:tcPr>
            <w:tcW w:w="5200" w:type="dxa"/>
            <w:vAlign w:val="bottom"/>
            <w:gridSpan w:val="2"/>
          </w:tcPr>
          <w:p>
            <w:pPr>
              <w:spacing w:after="0"/>
              <w:rPr>
                <w:sz w:val="20"/>
                <w:szCs w:val="20"/>
                <w:color w:val="auto"/>
              </w:rPr>
            </w:pPr>
            <w:r>
              <w:rPr>
                <w:rFonts w:ascii="Arial" w:cs="Arial" w:eastAsia="Arial" w:hAnsi="Arial"/>
                <w:sz w:val="10"/>
                <w:szCs w:val="10"/>
                <w:color w:val="auto"/>
              </w:rPr>
              <w:t>Other operating income*</w:t>
            </w:r>
          </w:p>
        </w:tc>
        <w:tc>
          <w:tcPr>
            <w:tcW w:w="940" w:type="dxa"/>
            <w:vAlign w:val="bottom"/>
          </w:tcPr>
          <w:p>
            <w:pPr>
              <w:spacing w:after="0"/>
              <w:rPr>
                <w:sz w:val="11"/>
                <w:szCs w:val="11"/>
                <w:color w:val="auto"/>
              </w:rPr>
            </w:pPr>
          </w:p>
        </w:tc>
        <w:tc>
          <w:tcPr>
            <w:tcW w:w="1280" w:type="dxa"/>
            <w:vAlign w:val="bottom"/>
          </w:tcPr>
          <w:p>
            <w:pPr>
              <w:jc w:val="right"/>
              <w:ind w:right="12"/>
              <w:spacing w:after="0"/>
              <w:rPr>
                <w:sz w:val="20"/>
                <w:szCs w:val="20"/>
                <w:color w:val="auto"/>
              </w:rPr>
            </w:pPr>
            <w:r>
              <w:rPr>
                <w:rFonts w:ascii="Arial" w:cs="Arial" w:eastAsia="Arial" w:hAnsi="Arial"/>
                <w:sz w:val="10"/>
                <w:szCs w:val="10"/>
                <w:color w:val="auto"/>
              </w:rPr>
              <w:t>15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17</w:t>
            </w:r>
          </w:p>
        </w:tc>
      </w:tr>
      <w:tr>
        <w:trPr>
          <w:trHeight w:val="138"/>
        </w:trPr>
        <w:tc>
          <w:tcPr>
            <w:tcW w:w="52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operating income</w:t>
            </w:r>
          </w:p>
        </w:tc>
        <w:tc>
          <w:tcPr>
            <w:tcW w:w="9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1,313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807</w:t>
            </w:r>
          </w:p>
        </w:tc>
      </w:tr>
      <w:tr>
        <w:trPr>
          <w:trHeight w:val="108"/>
        </w:trPr>
        <w:tc>
          <w:tcPr>
            <w:tcW w:w="4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Cost of sales</w:t>
            </w:r>
          </w:p>
        </w:tc>
        <w:tc>
          <w:tcPr>
            <w:tcW w:w="94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r>
      <w:tr>
        <w:trPr>
          <w:trHeight w:val="132"/>
        </w:trPr>
        <w:tc>
          <w:tcPr>
            <w:tcW w:w="5200" w:type="dxa"/>
            <w:vAlign w:val="bottom"/>
            <w:gridSpan w:val="2"/>
          </w:tcPr>
          <w:p>
            <w:pPr>
              <w:spacing w:after="0"/>
              <w:rPr>
                <w:sz w:val="20"/>
                <w:szCs w:val="20"/>
                <w:color w:val="auto"/>
              </w:rPr>
            </w:pPr>
            <w:r>
              <w:rPr>
                <w:rFonts w:ascii="Arial" w:cs="Arial" w:eastAsia="Arial" w:hAnsi="Arial"/>
                <w:sz w:val="10"/>
                <w:szCs w:val="10"/>
                <w:color w:val="auto"/>
              </w:rPr>
              <w:t>Research and development expenses*</w:t>
            </w:r>
          </w:p>
        </w:tc>
        <w:tc>
          <w:tcPr>
            <w:tcW w:w="94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(443)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(311)</w:t>
            </w:r>
          </w:p>
        </w:tc>
      </w:tr>
      <w:tr>
        <w:trPr>
          <w:trHeight w:val="138"/>
        </w:trPr>
        <w:tc>
          <w:tcPr>
            <w:tcW w:w="5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Selling, general and administrative expenses</w:t>
            </w:r>
          </w:p>
        </w:tc>
        <w:tc>
          <w:tcPr>
            <w:tcW w:w="9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(276)</w:t>
            </w:r>
          </w:p>
        </w:tc>
      </w:tr>
      <w:tr>
        <w:trPr>
          <w:trHeight w:val="134"/>
        </w:trPr>
        <w:tc>
          <w:tcPr>
            <w:tcW w:w="5200" w:type="dxa"/>
            <w:vAlign w:val="bottom"/>
            <w:gridSpan w:val="2"/>
          </w:tcPr>
          <w:p>
            <w:pPr>
              <w:spacing w:after="0"/>
              <w:rPr>
                <w:sz w:val="20"/>
                <w:szCs w:val="20"/>
                <w:color w:val="auto"/>
              </w:rPr>
            </w:pPr>
            <w:r>
              <w:rPr>
                <w:rFonts w:ascii="Arial" w:cs="Arial" w:eastAsia="Arial" w:hAnsi="Arial"/>
                <w:sz w:val="10"/>
                <w:szCs w:val="10"/>
                <w:b w:val="1"/>
                <w:bCs w:val="1"/>
                <w:color w:val="auto"/>
              </w:rPr>
              <w:t>Total operating expenses</w:t>
            </w:r>
          </w:p>
        </w:tc>
        <w:tc>
          <w:tcPr>
            <w:tcW w:w="94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b w:val="1"/>
                <w:bCs w:val="1"/>
                <w:color w:val="auto"/>
              </w:rPr>
              <w:t>(919)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b w:val="1"/>
                <w:bCs w:val="1"/>
                <w:color w:val="auto"/>
              </w:rPr>
              <w:t>(668)</w:t>
            </w:r>
          </w:p>
        </w:tc>
      </w:tr>
      <w:tr>
        <w:trPr>
          <w:trHeight w:val="145"/>
        </w:trPr>
        <w:tc>
          <w:tcPr>
            <w:tcW w:w="4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r>
      <w:tr>
        <w:trPr>
          <w:trHeight w:val="123"/>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Operating profit</w:t>
            </w:r>
          </w:p>
        </w:tc>
        <w:tc>
          <w:tcPr>
            <w:tcW w:w="94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394</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b w:val="1"/>
                <w:bCs w:val="1"/>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139</w:t>
            </w:r>
          </w:p>
        </w:tc>
      </w:tr>
      <w:tr>
        <w:trPr>
          <w:trHeight w:val="125"/>
        </w:trPr>
        <w:tc>
          <w:tcPr>
            <w:tcW w:w="4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32"/>
        </w:trPr>
        <w:tc>
          <w:tcPr>
            <w:tcW w:w="5200" w:type="dxa"/>
            <w:vAlign w:val="bottom"/>
            <w:gridSpan w:val="2"/>
          </w:tcPr>
          <w:p>
            <w:pPr>
              <w:spacing w:after="0"/>
              <w:rPr>
                <w:sz w:val="20"/>
                <w:szCs w:val="20"/>
                <w:color w:val="auto"/>
              </w:rPr>
            </w:pPr>
            <w:r>
              <w:rPr>
                <w:rFonts w:ascii="Arial" w:cs="Arial" w:eastAsia="Arial" w:hAnsi="Arial"/>
                <w:sz w:val="10"/>
                <w:szCs w:val="10"/>
                <w:color w:val="auto"/>
              </w:rPr>
              <w:t>Financial income</w:t>
            </w:r>
          </w:p>
        </w:tc>
        <w:tc>
          <w:tcPr>
            <w:tcW w:w="940" w:type="dxa"/>
            <w:vAlign w:val="bottom"/>
          </w:tcPr>
          <w:p>
            <w:pPr>
              <w:jc w:val="right"/>
              <w:ind w:right="69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12"/>
              <w:spacing w:after="0"/>
              <w:rPr>
                <w:sz w:val="20"/>
                <w:szCs w:val="20"/>
                <w:color w:val="auto"/>
              </w:rPr>
            </w:pPr>
            <w:r>
              <w:rPr>
                <w:rFonts w:ascii="Arial" w:cs="Arial" w:eastAsia="Arial" w:hAnsi="Arial"/>
                <w:sz w:val="10"/>
                <w:szCs w:val="10"/>
                <w:color w:val="auto"/>
              </w:rPr>
              <w:t>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77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37</w:t>
            </w:r>
          </w:p>
        </w:tc>
      </w:tr>
      <w:tr>
        <w:trPr>
          <w:trHeight w:val="138"/>
        </w:trPr>
        <w:tc>
          <w:tcPr>
            <w:tcW w:w="5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Financial expense</w:t>
            </w:r>
          </w:p>
        </w:tc>
        <w:tc>
          <w:tcPr>
            <w:tcW w:w="9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r>
      <w:tr>
        <w:trPr>
          <w:trHeight w:val="132"/>
        </w:trPr>
        <w:tc>
          <w:tcPr>
            <w:tcW w:w="5200" w:type="dxa"/>
            <w:vAlign w:val="bottom"/>
            <w:gridSpan w:val="2"/>
          </w:tcPr>
          <w:p>
            <w:pPr>
              <w:spacing w:after="0"/>
              <w:rPr>
                <w:sz w:val="20"/>
                <w:szCs w:val="20"/>
                <w:color w:val="auto"/>
              </w:rPr>
            </w:pPr>
            <w:r>
              <w:rPr>
                <w:rFonts w:ascii="Arial" w:cs="Arial" w:eastAsia="Arial" w:hAnsi="Arial"/>
                <w:sz w:val="10"/>
                <w:szCs w:val="10"/>
                <w:color w:val="auto"/>
              </w:rPr>
              <w:t>Exchange (losses)/gains</w:t>
            </w:r>
          </w:p>
        </w:tc>
        <w:tc>
          <w:tcPr>
            <w:tcW w:w="94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27</w:t>
            </w:r>
          </w:p>
        </w:tc>
      </w:tr>
      <w:tr>
        <w:trPr>
          <w:trHeight w:val="138"/>
        </w:trPr>
        <w:tc>
          <w:tcPr>
            <w:tcW w:w="4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r>
      <w:tr>
        <w:trPr>
          <w:trHeight w:val="123"/>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Profit for the period before taxes</w:t>
            </w:r>
          </w:p>
        </w:tc>
        <w:tc>
          <w:tcPr>
            <w:tcW w:w="94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426</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b w:val="1"/>
                <w:bCs w:val="1"/>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w:t>
            </w:r>
          </w:p>
        </w:tc>
      </w:tr>
      <w:tr>
        <w:trPr>
          <w:trHeight w:val="125"/>
        </w:trPr>
        <w:tc>
          <w:tcPr>
            <w:tcW w:w="5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94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2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w:t>
            </w:r>
          </w:p>
        </w:tc>
      </w:tr>
      <w:tr>
        <w:trPr>
          <w:trHeight w:val="123"/>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Profit for the period</w:t>
            </w:r>
          </w:p>
        </w:tc>
        <w:tc>
          <w:tcPr>
            <w:tcW w:w="94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366</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b w:val="1"/>
                <w:bCs w:val="1"/>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169</w:t>
            </w:r>
          </w:p>
        </w:tc>
      </w:tr>
      <w:tr>
        <w:trPr>
          <w:trHeight w:val="116"/>
        </w:trPr>
        <w:tc>
          <w:tcPr>
            <w:tcW w:w="5200" w:type="dxa"/>
            <w:vAlign w:val="bottom"/>
            <w:gridSpan w:val="2"/>
            <w:shd w:val="clear" w:color="auto" w:fill="CCEEFF"/>
          </w:tcPr>
          <w:p>
            <w:pPr>
              <w:spacing w:after="0" w:line="110" w:lineRule="exact"/>
              <w:rPr>
                <w:sz w:val="20"/>
                <w:szCs w:val="20"/>
                <w:color w:val="auto"/>
              </w:rPr>
            </w:pPr>
            <w:r>
              <w:rPr>
                <w:rFonts w:ascii="Arial" w:cs="Arial" w:eastAsia="Arial" w:hAnsi="Arial"/>
                <w:sz w:val="10"/>
                <w:szCs w:val="10"/>
                <w:color w:val="auto"/>
              </w:rPr>
              <w:t>Profit for the period attributable to:</w:t>
            </w:r>
          </w:p>
        </w:tc>
        <w:tc>
          <w:tcPr>
            <w:tcW w:w="9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32"/>
        </w:trPr>
        <w:tc>
          <w:tcPr>
            <w:tcW w:w="5200" w:type="dxa"/>
            <w:vAlign w:val="bottom"/>
            <w:gridSpan w:val="2"/>
          </w:tcPr>
          <w:p>
            <w:pPr>
              <w:spacing w:after="0"/>
              <w:rPr>
                <w:sz w:val="20"/>
                <w:szCs w:val="20"/>
                <w:color w:val="auto"/>
              </w:rPr>
            </w:pPr>
            <w:r>
              <w:rPr>
                <w:rFonts w:ascii="Arial" w:cs="Arial" w:eastAsia="Arial" w:hAnsi="Arial"/>
                <w:sz w:val="10"/>
                <w:szCs w:val="10"/>
                <w:color w:val="auto"/>
              </w:rPr>
              <w:t>Owners of the parent</w:t>
            </w:r>
          </w:p>
        </w:tc>
        <w:tc>
          <w:tcPr>
            <w:tcW w:w="940" w:type="dxa"/>
            <w:vAlign w:val="bottom"/>
          </w:tcPr>
          <w:p>
            <w:pPr>
              <w:jc w:val="right"/>
              <w:ind w:right="69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12"/>
              <w:spacing w:after="0"/>
              <w:rPr>
                <w:sz w:val="20"/>
                <w:szCs w:val="20"/>
                <w:color w:val="auto"/>
              </w:rPr>
            </w:pPr>
            <w:r>
              <w:rPr>
                <w:rFonts w:ascii="Arial" w:cs="Arial" w:eastAsia="Arial" w:hAnsi="Arial"/>
                <w:sz w:val="10"/>
                <w:szCs w:val="10"/>
                <w:color w:val="auto"/>
              </w:rPr>
              <w:t>366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77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169</w:t>
            </w:r>
          </w:p>
        </w:tc>
      </w:tr>
      <w:tr>
        <w:trPr>
          <w:trHeight w:val="138"/>
        </w:trPr>
        <w:tc>
          <w:tcPr>
            <w:tcW w:w="5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Weighted average number of shares outstanding</w:t>
            </w:r>
          </w:p>
        </w:tc>
        <w:tc>
          <w:tcPr>
            <w:tcW w:w="9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62,056,886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60,983,325</w:t>
            </w:r>
          </w:p>
        </w:tc>
      </w:tr>
      <w:tr>
        <w:trPr>
          <w:trHeight w:val="132"/>
        </w:trPr>
        <w:tc>
          <w:tcPr>
            <w:tcW w:w="5200" w:type="dxa"/>
            <w:vAlign w:val="bottom"/>
            <w:gridSpan w:val="2"/>
          </w:tcPr>
          <w:p>
            <w:pPr>
              <w:spacing w:after="0"/>
              <w:rPr>
                <w:sz w:val="20"/>
                <w:szCs w:val="20"/>
                <w:color w:val="auto"/>
              </w:rPr>
            </w:pPr>
            <w:r>
              <w:rPr>
                <w:rFonts w:ascii="Arial" w:cs="Arial" w:eastAsia="Arial" w:hAnsi="Arial"/>
                <w:sz w:val="10"/>
                <w:szCs w:val="10"/>
                <w:color w:val="auto"/>
              </w:rPr>
              <w:t>Basic profit per share (in $)</w:t>
            </w:r>
          </w:p>
        </w:tc>
        <w:tc>
          <w:tcPr>
            <w:tcW w:w="940" w:type="dxa"/>
            <w:vAlign w:val="bottom"/>
          </w:tcPr>
          <w:p>
            <w:pPr>
              <w:jc w:val="right"/>
              <w:ind w:right="69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12"/>
              <w:spacing w:after="0"/>
              <w:rPr>
                <w:sz w:val="20"/>
                <w:szCs w:val="20"/>
                <w:color w:val="auto"/>
              </w:rPr>
            </w:pPr>
            <w:r>
              <w:rPr>
                <w:rFonts w:ascii="Arial" w:cs="Arial" w:eastAsia="Arial" w:hAnsi="Arial"/>
                <w:sz w:val="10"/>
                <w:szCs w:val="10"/>
                <w:color w:val="auto"/>
              </w:rPr>
              <w:t>5.90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77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2.78</w:t>
            </w:r>
          </w:p>
        </w:tc>
      </w:tr>
      <w:tr>
        <w:trPr>
          <w:trHeight w:val="138"/>
        </w:trPr>
        <w:tc>
          <w:tcPr>
            <w:tcW w:w="5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Weighted average number of shares outstanding for diluted profit per share</w:t>
            </w:r>
          </w:p>
        </w:tc>
        <w:tc>
          <w:tcPr>
            <w:tcW w:w="9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66,356,591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65,664,300</w:t>
            </w:r>
          </w:p>
        </w:tc>
      </w:tr>
      <w:tr>
        <w:trPr>
          <w:trHeight w:val="129"/>
        </w:trPr>
        <w:tc>
          <w:tcPr>
            <w:tcW w:w="5200" w:type="dxa"/>
            <w:vAlign w:val="bottom"/>
            <w:gridSpan w:val="2"/>
          </w:tcPr>
          <w:p>
            <w:pPr>
              <w:spacing w:after="0"/>
              <w:rPr>
                <w:sz w:val="20"/>
                <w:szCs w:val="20"/>
                <w:color w:val="auto"/>
              </w:rPr>
            </w:pPr>
            <w:r>
              <w:rPr>
                <w:rFonts w:ascii="Arial" w:cs="Arial" w:eastAsia="Arial" w:hAnsi="Arial"/>
                <w:sz w:val="10"/>
                <w:szCs w:val="10"/>
                <w:color w:val="auto"/>
              </w:rPr>
              <w:t>Diluted profit per share (in $)</w:t>
            </w:r>
          </w:p>
        </w:tc>
        <w:tc>
          <w:tcPr>
            <w:tcW w:w="940" w:type="dxa"/>
            <w:vAlign w:val="bottom"/>
          </w:tcPr>
          <w:p>
            <w:pPr>
              <w:jc w:val="right"/>
              <w:ind w:right="69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12"/>
              <w:spacing w:after="0"/>
              <w:rPr>
                <w:sz w:val="20"/>
                <w:szCs w:val="20"/>
                <w:color w:val="auto"/>
              </w:rPr>
            </w:pPr>
            <w:r>
              <w:rPr>
                <w:rFonts w:ascii="Arial" w:cs="Arial" w:eastAsia="Arial" w:hAnsi="Arial"/>
                <w:sz w:val="10"/>
                <w:szCs w:val="10"/>
                <w:color w:val="auto"/>
              </w:rPr>
              <w:t>5.52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77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2.58</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*Comparative figures have been aligned with the presentation adopted in the current period, reflecting the combination of: collaboration revenue and other operating income, as well as the combination of research and development expenses and loss from investment in a joint venture.</w:t>
      </w:r>
    </w:p>
    <w:p>
      <w:pPr>
        <w:sectPr>
          <w:pgSz w:w="11900" w:h="16838" w:orient="portrait"/>
          <w:cols w:equalWidth="0" w:num="1">
            <w:col w:w="10520"/>
          </w:cols>
          <w:pgMar w:left="680" w:top="1103" w:right="699" w:bottom="1440" w:gutter="0" w:footer="0" w:header="0"/>
        </w:sectPr>
      </w:pPr>
    </w:p>
    <w:bookmarkStart w:id="6" w:name="page7"/>
    <w:bookmarkEnd w:id="6"/>
    <w:p>
      <w:pPr>
        <w:ind w:left="8"/>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425450</wp:posOffset>
            </wp:positionH>
            <wp:positionV relativeFrom="page">
              <wp:posOffset>88900</wp:posOffset>
            </wp:positionV>
            <wp:extent cx="77724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DETAILS OF THE FINANCIAL RESULTS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 xml:space="preserve">Total operating income </w:t>
      </w:r>
      <w:r>
        <w:rPr>
          <w:rFonts w:ascii="Arial" w:cs="Arial" w:eastAsia="Arial" w:hAnsi="Arial"/>
          <w:sz w:val="11"/>
          <w:szCs w:val="11"/>
          <w:color w:val="auto"/>
        </w:rPr>
        <w:t>for the three months ended March 31, 2026, was $1.3 billion compared to $0.8 billion for the same period in 2025, and consists of:</w:t>
      </w:r>
    </w:p>
    <w:p>
      <w:pPr>
        <w:spacing w:after="0" w:line="126" w:lineRule="exact"/>
        <w:rPr>
          <w:sz w:val="20"/>
          <w:szCs w:val="20"/>
          <w:color w:val="auto"/>
        </w:rPr>
      </w:pPr>
    </w:p>
    <w:p>
      <w:pPr>
        <w:ind w:left="428" w:hanging="212"/>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b w:val="1"/>
          <w:bCs w:val="1"/>
          <w:color w:val="auto"/>
        </w:rPr>
        <w:t xml:space="preserve">Product net sales </w:t>
      </w:r>
      <w:r>
        <w:rPr>
          <w:rFonts w:ascii="Arial" w:cs="Arial" w:eastAsia="Arial" w:hAnsi="Arial"/>
          <w:sz w:val="11"/>
          <w:szCs w:val="11"/>
          <w:color w:val="auto"/>
        </w:rPr>
        <w:t>of VYVGART for the three months ended March 31, 2026, were $1.3 billion compared to $0.8 billion for the same period in 2025.</w:t>
      </w:r>
    </w:p>
    <w:p>
      <w:pPr>
        <w:spacing w:after="0" w:line="125" w:lineRule="exact"/>
        <w:rPr>
          <w:rFonts w:ascii="Arial" w:cs="Arial" w:eastAsia="Arial" w:hAnsi="Arial"/>
          <w:sz w:val="11"/>
          <w:szCs w:val="11"/>
          <w:color w:val="auto"/>
        </w:rPr>
      </w:pPr>
    </w:p>
    <w:p>
      <w:pPr>
        <w:ind w:left="428" w:right="20" w:hanging="212"/>
        <w:spacing w:after="0" w:line="302" w:lineRule="auto"/>
        <w:tabs>
          <w:tab w:leader="none" w:pos="421" w:val="left"/>
        </w:tabs>
        <w:numPr>
          <w:ilvl w:val="0"/>
          <w:numId w:val="5"/>
        </w:numPr>
        <w:rPr>
          <w:rFonts w:ascii="Arial" w:cs="Arial" w:eastAsia="Arial" w:hAnsi="Arial"/>
          <w:sz w:val="11"/>
          <w:szCs w:val="11"/>
          <w:color w:val="auto"/>
        </w:rPr>
      </w:pPr>
      <w:r>
        <w:rPr>
          <w:rFonts w:ascii="Arial" w:cs="Arial" w:eastAsia="Arial" w:hAnsi="Arial"/>
          <w:sz w:val="11"/>
          <w:szCs w:val="11"/>
          <w:b w:val="1"/>
          <w:bCs w:val="1"/>
          <w:color w:val="auto"/>
        </w:rPr>
        <w:t xml:space="preserve">Other operating income </w:t>
      </w:r>
      <w:r>
        <w:rPr>
          <w:rFonts w:ascii="Arial" w:cs="Arial" w:eastAsia="Arial" w:hAnsi="Arial"/>
          <w:sz w:val="11"/>
          <w:szCs w:val="11"/>
          <w:color w:val="auto"/>
        </w:rPr>
        <w:t>for the three months ended March 31, 2026, was $15 million compared to $17 million for the same period in 2025. The other operating income primarily relates to research and development tax</w:t>
      </w:r>
      <w:r>
        <w:rPr>
          <w:rFonts w:ascii="Arial" w:cs="Arial" w:eastAsia="Arial" w:hAnsi="Arial"/>
          <w:sz w:val="11"/>
          <w:szCs w:val="11"/>
          <w:b w:val="1"/>
          <w:bCs w:val="1"/>
          <w:color w:val="auto"/>
        </w:rPr>
        <w:t xml:space="preserve"> </w:t>
      </w:r>
      <w:r>
        <w:rPr>
          <w:rFonts w:ascii="Arial" w:cs="Arial" w:eastAsia="Arial" w:hAnsi="Arial"/>
          <w:sz w:val="11"/>
          <w:szCs w:val="11"/>
          <w:color w:val="auto"/>
        </w:rPr>
        <w:t>incentives and payroll tax rebates.</w:t>
      </w:r>
    </w:p>
    <w:p>
      <w:pPr>
        <w:spacing w:after="0" w:line="330" w:lineRule="exact"/>
        <w:rPr>
          <w:sz w:val="20"/>
          <w:szCs w:val="20"/>
          <w:color w:val="auto"/>
        </w:rPr>
      </w:pPr>
    </w:p>
    <w:p>
      <w:pPr>
        <w:ind w:left="428" w:hanging="212"/>
        <w:spacing w:after="0"/>
        <w:tabs>
          <w:tab w:leader="none" w:pos="428"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Cost of sales </w:t>
      </w:r>
      <w:r>
        <w:rPr>
          <w:rFonts w:ascii="Arial" w:cs="Arial" w:eastAsia="Arial" w:hAnsi="Arial"/>
          <w:sz w:val="11"/>
          <w:szCs w:val="11"/>
          <w:color w:val="auto"/>
        </w:rPr>
        <w:t>for the three months ended March 31, 2026, was $121 million compared to $81 million for the same period in 2025. The cost of sales was recognized with respect to the sale of VYVGART.</w:t>
      </w:r>
    </w:p>
    <w:p>
      <w:pPr>
        <w:spacing w:after="0" w:line="125" w:lineRule="exact"/>
        <w:rPr>
          <w:rFonts w:ascii="Arial" w:cs="Arial" w:eastAsia="Arial" w:hAnsi="Arial"/>
          <w:sz w:val="11"/>
          <w:szCs w:val="11"/>
          <w:color w:val="auto"/>
        </w:rPr>
      </w:pPr>
    </w:p>
    <w:p>
      <w:pPr>
        <w:ind w:left="428" w:hanging="212"/>
        <w:spacing w:after="0"/>
        <w:tabs>
          <w:tab w:leader="none" w:pos="428"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Research and development expenses </w:t>
      </w:r>
      <w:r>
        <w:rPr>
          <w:rFonts w:ascii="Arial" w:cs="Arial" w:eastAsia="Arial" w:hAnsi="Arial"/>
          <w:sz w:val="11"/>
          <w:szCs w:val="11"/>
          <w:color w:val="auto"/>
        </w:rPr>
        <w:t>for the three months ended March 31, 2026, were $0.4 billion compared to $0.3 billion for the same period in 2025. The expenses mainly relate to:</w:t>
      </w:r>
    </w:p>
    <w:p>
      <w:pPr>
        <w:spacing w:after="0" w:line="125" w:lineRule="exact"/>
        <w:rPr>
          <w:rFonts w:ascii="Arial" w:cs="Arial" w:eastAsia="Arial" w:hAnsi="Arial"/>
          <w:sz w:val="11"/>
          <w:szCs w:val="11"/>
          <w:color w:val="auto"/>
        </w:rPr>
      </w:pPr>
    </w:p>
    <w:p>
      <w:pPr>
        <w:ind w:left="848" w:hanging="200"/>
        <w:spacing w:after="0"/>
        <w:tabs>
          <w:tab w:leader="none" w:pos="848" w:val="left"/>
        </w:tabs>
        <w:numPr>
          <w:ilvl w:val="1"/>
          <w:numId w:val="6"/>
        </w:numPr>
        <w:rPr>
          <w:rFonts w:ascii="Arial" w:cs="Arial" w:eastAsia="Arial" w:hAnsi="Arial"/>
          <w:sz w:val="11"/>
          <w:szCs w:val="11"/>
          <w:color w:val="auto"/>
        </w:rPr>
      </w:pPr>
      <w:r>
        <w:rPr>
          <w:rFonts w:ascii="Arial" w:cs="Arial" w:eastAsia="Arial" w:hAnsi="Arial"/>
          <w:sz w:val="11"/>
          <w:szCs w:val="11"/>
          <w:color w:val="auto"/>
        </w:rPr>
        <w:t>Advancing efgartigimod across multiple severe autoimmune diseases;</w:t>
      </w:r>
    </w:p>
    <w:p>
      <w:pPr>
        <w:spacing w:after="0" w:line="125" w:lineRule="exact"/>
        <w:rPr>
          <w:rFonts w:ascii="Arial" w:cs="Arial" w:eastAsia="Arial" w:hAnsi="Arial"/>
          <w:sz w:val="11"/>
          <w:szCs w:val="11"/>
          <w:color w:val="auto"/>
        </w:rPr>
      </w:pPr>
    </w:p>
    <w:p>
      <w:pPr>
        <w:ind w:left="848" w:hanging="200"/>
        <w:spacing w:after="0"/>
        <w:tabs>
          <w:tab w:leader="none" w:pos="848" w:val="left"/>
        </w:tabs>
        <w:numPr>
          <w:ilvl w:val="1"/>
          <w:numId w:val="6"/>
        </w:numPr>
        <w:rPr>
          <w:rFonts w:ascii="Arial" w:cs="Arial" w:eastAsia="Arial" w:hAnsi="Arial"/>
          <w:sz w:val="11"/>
          <w:szCs w:val="11"/>
          <w:color w:val="auto"/>
        </w:rPr>
      </w:pPr>
      <w:r>
        <w:rPr>
          <w:rFonts w:ascii="Arial" w:cs="Arial" w:eastAsia="Arial" w:hAnsi="Arial"/>
          <w:sz w:val="11"/>
          <w:szCs w:val="11"/>
          <w:color w:val="auto"/>
        </w:rPr>
        <w:t>Progressing empasiprubart into multiple indications;</w:t>
      </w:r>
    </w:p>
    <w:p>
      <w:pPr>
        <w:spacing w:after="0" w:line="125" w:lineRule="exact"/>
        <w:rPr>
          <w:rFonts w:ascii="Arial" w:cs="Arial" w:eastAsia="Arial" w:hAnsi="Arial"/>
          <w:sz w:val="11"/>
          <w:szCs w:val="11"/>
          <w:color w:val="auto"/>
        </w:rPr>
      </w:pPr>
    </w:p>
    <w:p>
      <w:pPr>
        <w:ind w:left="848" w:hanging="200"/>
        <w:spacing w:after="0"/>
        <w:tabs>
          <w:tab w:leader="none" w:pos="848" w:val="left"/>
        </w:tabs>
        <w:numPr>
          <w:ilvl w:val="1"/>
          <w:numId w:val="6"/>
        </w:numPr>
        <w:rPr>
          <w:rFonts w:ascii="Arial" w:cs="Arial" w:eastAsia="Arial" w:hAnsi="Arial"/>
          <w:sz w:val="11"/>
          <w:szCs w:val="11"/>
          <w:color w:val="auto"/>
        </w:rPr>
      </w:pPr>
      <w:r>
        <w:rPr>
          <w:rFonts w:ascii="Arial" w:cs="Arial" w:eastAsia="Arial" w:hAnsi="Arial"/>
          <w:sz w:val="11"/>
          <w:szCs w:val="11"/>
          <w:color w:val="auto"/>
        </w:rPr>
        <w:t>Executing studies for adimanebart in rare neuromuscular diseases; and</w:t>
      </w:r>
    </w:p>
    <w:p>
      <w:pPr>
        <w:spacing w:after="0" w:line="107" w:lineRule="exact"/>
        <w:rPr>
          <w:rFonts w:ascii="Arial" w:cs="Arial" w:eastAsia="Arial" w:hAnsi="Arial"/>
          <w:sz w:val="11"/>
          <w:szCs w:val="11"/>
          <w:color w:val="auto"/>
        </w:rPr>
      </w:pPr>
    </w:p>
    <w:p>
      <w:pPr>
        <w:ind w:left="848" w:hanging="200"/>
        <w:spacing w:after="0"/>
        <w:tabs>
          <w:tab w:leader="none" w:pos="848" w:val="left"/>
        </w:tabs>
        <w:numPr>
          <w:ilvl w:val="1"/>
          <w:numId w:val="6"/>
        </w:numPr>
        <w:rPr>
          <w:rFonts w:ascii="Arial" w:cs="Arial" w:eastAsia="Arial" w:hAnsi="Arial"/>
          <w:sz w:val="11"/>
          <w:szCs w:val="11"/>
          <w:color w:val="auto"/>
        </w:rPr>
      </w:pPr>
      <w:r>
        <w:rPr>
          <w:rFonts w:ascii="Arial" w:cs="Arial" w:eastAsia="Arial" w:hAnsi="Arial"/>
          <w:sz w:val="11"/>
          <w:szCs w:val="11"/>
          <w:color w:val="auto"/>
        </w:rPr>
        <w:t>Early-stage discovery and preclinical programs to sustain long-term pipeline growth.</w:t>
      </w:r>
    </w:p>
    <w:p>
      <w:pPr>
        <w:spacing w:after="0" w:line="107" w:lineRule="exact"/>
        <w:rPr>
          <w:rFonts w:ascii="Arial" w:cs="Arial" w:eastAsia="Arial" w:hAnsi="Arial"/>
          <w:sz w:val="11"/>
          <w:szCs w:val="11"/>
          <w:color w:val="auto"/>
        </w:rPr>
      </w:pPr>
    </w:p>
    <w:p>
      <w:pPr>
        <w:ind w:left="428" w:right="20" w:hanging="212"/>
        <w:spacing w:after="0" w:line="302" w:lineRule="auto"/>
        <w:tabs>
          <w:tab w:leader="none" w:pos="421"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Selling, general and administrative expenses </w:t>
      </w:r>
      <w:r>
        <w:rPr>
          <w:rFonts w:ascii="Arial" w:cs="Arial" w:eastAsia="Arial" w:hAnsi="Arial"/>
          <w:sz w:val="11"/>
          <w:szCs w:val="11"/>
          <w:color w:val="auto"/>
        </w:rPr>
        <w:t>for the three months ended March 31, 2026, were $0.4 billion compared to $0.3 billion for the same period in 2025. The selling, general and administrative expenses mainly relate</w:t>
      </w:r>
      <w:r>
        <w:rPr>
          <w:rFonts w:ascii="Arial" w:cs="Arial" w:eastAsia="Arial" w:hAnsi="Arial"/>
          <w:sz w:val="11"/>
          <w:szCs w:val="11"/>
          <w:b w:val="1"/>
          <w:bCs w:val="1"/>
          <w:color w:val="auto"/>
        </w:rPr>
        <w:t xml:space="preserve"> </w:t>
      </w:r>
      <w:r>
        <w:rPr>
          <w:rFonts w:ascii="Arial" w:cs="Arial" w:eastAsia="Arial" w:hAnsi="Arial"/>
          <w:sz w:val="11"/>
          <w:szCs w:val="11"/>
          <w:color w:val="auto"/>
        </w:rPr>
        <w:t>to professional and marketing fees linked to global commercialization of the VYVGART franchise, and personnel expenses.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 xml:space="preserve">Financial income </w:t>
      </w:r>
      <w:r>
        <w:rPr>
          <w:rFonts w:ascii="Arial" w:cs="Arial" w:eastAsia="Arial" w:hAnsi="Arial"/>
          <w:sz w:val="11"/>
          <w:szCs w:val="11"/>
          <w:color w:val="auto"/>
        </w:rPr>
        <w:t>for the three months ended March 31, 2026, was $44 million compared to $37 million for the same period in 2025.</w:t>
      </w:r>
    </w:p>
    <w:p>
      <w:pPr>
        <w:spacing w:after="0" w:line="126" w:lineRule="exact"/>
        <w:rPr>
          <w:sz w:val="20"/>
          <w:szCs w:val="20"/>
          <w:color w:val="auto"/>
        </w:rPr>
      </w:pPr>
    </w:p>
    <w:p>
      <w:pPr>
        <w:ind w:left="8"/>
        <w:spacing w:after="0" w:line="302" w:lineRule="auto"/>
        <w:rPr>
          <w:sz w:val="20"/>
          <w:szCs w:val="20"/>
          <w:color w:val="auto"/>
        </w:rPr>
      </w:pPr>
      <w:r>
        <w:rPr>
          <w:rFonts w:ascii="Arial" w:cs="Arial" w:eastAsia="Arial" w:hAnsi="Arial"/>
          <w:sz w:val="11"/>
          <w:szCs w:val="11"/>
          <w:b w:val="1"/>
          <w:bCs w:val="1"/>
          <w:color w:val="auto"/>
        </w:rPr>
        <w:t xml:space="preserve">Income tax expense </w:t>
      </w:r>
      <w:r>
        <w:rPr>
          <w:rFonts w:ascii="Arial" w:cs="Arial" w:eastAsia="Arial" w:hAnsi="Arial"/>
          <w:sz w:val="11"/>
          <w:szCs w:val="11"/>
          <w:color w:val="auto"/>
        </w:rPr>
        <w:t>for the three months ended March 31, 2026 was $60 million compared to $33 million for the same period in 2025. Income tax expense for the three months ended March 31, 2026, consists of $102 million of current</w:t>
      </w:r>
      <w:r>
        <w:rPr>
          <w:rFonts w:ascii="Arial" w:cs="Arial" w:eastAsia="Arial" w:hAnsi="Arial"/>
          <w:sz w:val="11"/>
          <w:szCs w:val="11"/>
          <w:b w:val="1"/>
          <w:bCs w:val="1"/>
          <w:color w:val="auto"/>
        </w:rPr>
        <w:t xml:space="preserve"> </w:t>
      </w:r>
      <w:r>
        <w:rPr>
          <w:rFonts w:ascii="Arial" w:cs="Arial" w:eastAsia="Arial" w:hAnsi="Arial"/>
          <w:sz w:val="11"/>
          <w:szCs w:val="11"/>
          <w:color w:val="auto"/>
        </w:rPr>
        <w:t>income tax expense and $42 million of deferred tax benefit, compared to $29 million of current income tax expense and $4 million of deferred tax expense for the comparable prior period.</w:t>
      </w:r>
    </w:p>
    <w:p>
      <w:pPr>
        <w:spacing w:after="0" w:line="78" w:lineRule="exact"/>
        <w:rPr>
          <w:sz w:val="20"/>
          <w:szCs w:val="20"/>
          <w:color w:val="auto"/>
        </w:rPr>
      </w:pPr>
    </w:p>
    <w:p>
      <w:pPr>
        <w:ind w:left="8"/>
        <w:spacing w:after="0" w:line="302" w:lineRule="auto"/>
        <w:rPr>
          <w:sz w:val="20"/>
          <w:szCs w:val="20"/>
          <w:color w:val="auto"/>
        </w:rPr>
      </w:pPr>
      <w:r>
        <w:rPr>
          <w:rFonts w:ascii="Arial" w:cs="Arial" w:eastAsia="Arial" w:hAnsi="Arial"/>
          <w:sz w:val="11"/>
          <w:szCs w:val="11"/>
          <w:b w:val="1"/>
          <w:bCs w:val="1"/>
          <w:color w:val="auto"/>
        </w:rPr>
        <w:t xml:space="preserve">Profit </w:t>
      </w:r>
      <w:r>
        <w:rPr>
          <w:rFonts w:ascii="Arial" w:cs="Arial" w:eastAsia="Arial" w:hAnsi="Arial"/>
          <w:sz w:val="11"/>
          <w:szCs w:val="11"/>
          <w:color w:val="auto"/>
        </w:rPr>
        <w:t>for the period of three months ended March 31, 2026, was $366 million compared to $169 million in 2025, representing 116% growth year-over-year. The basic profit per share was $5.90 for the three months ended March 31, 2026</w:t>
      </w:r>
      <w:r>
        <w:rPr>
          <w:rFonts w:ascii="Arial" w:cs="Arial" w:eastAsia="Arial" w:hAnsi="Arial"/>
          <w:sz w:val="11"/>
          <w:szCs w:val="11"/>
          <w:b w:val="1"/>
          <w:bCs w:val="1"/>
          <w:color w:val="auto"/>
        </w:rPr>
        <w:t xml:space="preserve"> </w:t>
      </w:r>
      <w:r>
        <w:rPr>
          <w:rFonts w:ascii="Arial" w:cs="Arial" w:eastAsia="Arial" w:hAnsi="Arial"/>
          <w:sz w:val="11"/>
          <w:szCs w:val="11"/>
          <w:color w:val="auto"/>
        </w:rPr>
        <w:t>compared to $2.78 in 2025.</w:t>
      </w:r>
    </w:p>
    <w:p>
      <w:pPr>
        <w:spacing w:after="0" w:line="78" w:lineRule="exact"/>
        <w:rPr>
          <w:sz w:val="20"/>
          <w:szCs w:val="20"/>
          <w:color w:val="auto"/>
        </w:rPr>
      </w:pPr>
    </w:p>
    <w:p>
      <w:pPr>
        <w:ind w:left="8" w:right="20"/>
        <w:spacing w:after="0" w:line="238" w:lineRule="auto"/>
        <w:rPr>
          <w:sz w:val="20"/>
          <w:szCs w:val="20"/>
          <w:color w:val="auto"/>
        </w:rPr>
      </w:pPr>
      <w:r>
        <w:rPr>
          <w:rFonts w:ascii="Arial" w:cs="Arial" w:eastAsia="Arial" w:hAnsi="Arial"/>
          <w:sz w:val="11"/>
          <w:szCs w:val="11"/>
          <w:b w:val="1"/>
          <w:bCs w:val="1"/>
          <w:color w:val="auto"/>
        </w:rPr>
        <w:t>Cash, cash equivalents and current financial assets</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 xml:space="preserve"> </w:t>
      </w:r>
      <w:r>
        <w:rPr>
          <w:rFonts w:ascii="Arial" w:cs="Arial" w:eastAsia="Arial" w:hAnsi="Arial"/>
          <w:sz w:val="11"/>
          <w:szCs w:val="11"/>
          <w:color w:val="auto"/>
        </w:rPr>
        <w:t>consisted of $4.3 billion in cash, cash equivalents and $0.6 billion in current financial assets which totaled $4.9 billion as of March 31, 2026, compared to $3.5 billion in cash and</w:t>
      </w:r>
      <w:r>
        <w:rPr>
          <w:rFonts w:ascii="Arial" w:cs="Arial" w:eastAsia="Arial" w:hAnsi="Arial"/>
          <w:sz w:val="11"/>
          <w:szCs w:val="11"/>
          <w:b w:val="1"/>
          <w:bCs w:val="1"/>
          <w:color w:val="auto"/>
        </w:rPr>
        <w:t xml:space="preserve"> </w:t>
      </w:r>
      <w:r>
        <w:rPr>
          <w:rFonts w:ascii="Arial" w:cs="Arial" w:eastAsia="Arial" w:hAnsi="Arial"/>
          <w:sz w:val="11"/>
          <w:szCs w:val="11"/>
          <w:color w:val="auto"/>
        </w:rPr>
        <w:t>cash equivalents and $0.9 billion in current financial assets which totaled $4.4 billion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813435</wp:posOffset>
            </wp:positionV>
            <wp:extent cx="11430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 w:hanging="68"/>
        <w:spacing w:after="0"/>
        <w:tabs>
          <w:tab w:leader="none" w:pos="68" w:val="left"/>
        </w:tabs>
        <w:numPr>
          <w:ilvl w:val="0"/>
          <w:numId w:val="7"/>
        </w:numPr>
        <w:rPr>
          <w:rFonts w:ascii="Arial" w:cs="Arial" w:eastAsia="Arial" w:hAnsi="Arial"/>
          <w:sz w:val="14"/>
          <w:szCs w:val="14"/>
          <w:color w:val="auto"/>
          <w:vertAlign w:val="superscript"/>
        </w:rPr>
      </w:pPr>
      <w:r>
        <w:rPr>
          <w:rFonts w:ascii="Arial" w:cs="Arial" w:eastAsia="Arial" w:hAnsi="Arial"/>
          <w:sz w:val="8"/>
          <w:szCs w:val="8"/>
          <w:i w:val="1"/>
          <w:iCs w:val="1"/>
          <w:color w:val="auto"/>
        </w:rPr>
        <w:t>A non-IFRS Alternative Performance Measure (APM). Refer to the “Alternative Performance Measures Statement” below for a reconciliation to the IFRS financial information.</w:t>
      </w:r>
    </w:p>
    <w:p>
      <w:pPr>
        <w:sectPr>
          <w:pgSz w:w="11900" w:h="16838" w:orient="portrait"/>
          <w:cols w:equalWidth="0" w:num="1">
            <w:col w:w="11308"/>
          </w:cols>
          <w:pgMar w:left="292" w:top="1103"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425450</wp:posOffset>
            </wp:positionH>
            <wp:positionV relativeFrom="page">
              <wp:posOffset>88900</wp:posOffset>
            </wp:positionV>
            <wp:extent cx="77724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EXPECTED 2026 FINANCIAL CALENDAR</w:t>
      </w:r>
    </w:p>
    <w:p>
      <w:pPr>
        <w:spacing w:after="0" w:line="126"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1"/>
          <w:szCs w:val="11"/>
          <w:color w:val="auto"/>
        </w:rPr>
      </w:pPr>
      <w:r>
        <w:rPr>
          <w:rFonts w:ascii="Arial" w:cs="Arial" w:eastAsia="Arial" w:hAnsi="Arial"/>
          <w:sz w:val="11"/>
          <w:szCs w:val="11"/>
          <w:color w:val="auto"/>
        </w:rPr>
        <w:t>July 23, 2026: Half Year and Second Quarter 2026 Financial Results and Business Update</w:t>
      </w:r>
    </w:p>
    <w:p>
      <w:pPr>
        <w:spacing w:after="0" w:line="125" w:lineRule="exact"/>
        <w:rPr>
          <w:rFonts w:ascii="Arial" w:cs="Arial" w:eastAsia="Arial" w:hAnsi="Arial"/>
          <w:sz w:val="11"/>
          <w:szCs w:val="11"/>
          <w:color w:val="auto"/>
        </w:rPr>
      </w:pPr>
    </w:p>
    <w:p>
      <w:pPr>
        <w:ind w:left="420" w:hanging="212"/>
        <w:spacing w:after="0"/>
        <w:tabs>
          <w:tab w:leader="none" w:pos="420" w:val="left"/>
        </w:tabs>
        <w:numPr>
          <w:ilvl w:val="0"/>
          <w:numId w:val="8"/>
        </w:numPr>
        <w:rPr>
          <w:rFonts w:ascii="Arial" w:cs="Arial" w:eastAsia="Arial" w:hAnsi="Arial"/>
          <w:sz w:val="11"/>
          <w:szCs w:val="11"/>
          <w:color w:val="auto"/>
        </w:rPr>
      </w:pPr>
      <w:r>
        <w:rPr>
          <w:rFonts w:ascii="Arial" w:cs="Arial" w:eastAsia="Arial" w:hAnsi="Arial"/>
          <w:sz w:val="11"/>
          <w:szCs w:val="11"/>
          <w:color w:val="auto"/>
        </w:rPr>
        <w:t>October 22, 2026: Third Quarter 2026 Financial Results and Business Update</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CONFERENCE CALL DETAILS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 xml:space="preserve">The first quarter 2026 financial results and business update will be discussed during a conference call and webcast presentation today at 2:30 PM CET/8:30 AM ET. A webcast of the live call may be accessed on the Investors section of the argenx website at </w:t>
      </w:r>
      <w:r>
        <w:rPr>
          <w:rFonts w:ascii="Arial" w:cs="Arial" w:eastAsia="Arial" w:hAnsi="Arial"/>
          <w:sz w:val="11"/>
          <w:szCs w:val="11"/>
          <w:u w:val="single" w:color="auto"/>
          <w:color w:val="0563C1"/>
        </w:rPr>
        <w:t>argenx.com/investors</w:t>
      </w:r>
      <w:r>
        <w:rPr>
          <w:rFonts w:ascii="Arial" w:cs="Arial" w:eastAsia="Arial" w:hAnsi="Arial"/>
          <w:sz w:val="11"/>
          <w:szCs w:val="11"/>
          <w:color w:val="auto"/>
        </w:rPr>
        <w:t>. A replay of the webcast will be available on the argenx website.</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Dial-in numbers: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Please dial in 15 minutes prior to the live call.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0" w:type="dxa"/>
            <w:vAlign w:val="bottom"/>
          </w:tcPr>
          <w:p>
            <w:pPr>
              <w:spacing w:after="0"/>
              <w:rPr>
                <w:sz w:val="20"/>
                <w:szCs w:val="20"/>
                <w:color w:val="auto"/>
              </w:rPr>
            </w:pPr>
            <w:r>
              <w:rPr>
                <w:rFonts w:ascii="Arial" w:cs="Arial" w:eastAsia="Arial" w:hAnsi="Arial"/>
                <w:sz w:val="11"/>
                <w:szCs w:val="11"/>
                <w:color w:val="auto"/>
              </w:rPr>
              <w:t>Belgium</w:t>
            </w:r>
          </w:p>
        </w:tc>
        <w:tc>
          <w:tcPr>
            <w:tcW w:w="1180" w:type="dxa"/>
            <w:vAlign w:val="bottom"/>
            <w:gridSpan w:val="2"/>
          </w:tcPr>
          <w:p>
            <w:pPr>
              <w:jc w:val="right"/>
              <w:ind w:right="326"/>
              <w:spacing w:after="0"/>
              <w:rPr>
                <w:sz w:val="20"/>
                <w:szCs w:val="20"/>
                <w:color w:val="auto"/>
              </w:rPr>
            </w:pPr>
            <w:r>
              <w:rPr>
                <w:rFonts w:ascii="Arial" w:cs="Arial" w:eastAsia="Arial" w:hAnsi="Arial"/>
                <w:sz w:val="11"/>
                <w:szCs w:val="11"/>
                <w:color w:val="auto"/>
              </w:rPr>
              <w:t>32 800 50 201</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rPr>
              <w:t>France</w:t>
            </w:r>
          </w:p>
        </w:tc>
        <w:tc>
          <w:tcPr>
            <w:tcW w:w="1180" w:type="dxa"/>
            <w:vAlign w:val="bottom"/>
            <w:gridSpan w:val="2"/>
          </w:tcPr>
          <w:p>
            <w:pPr>
              <w:jc w:val="right"/>
              <w:ind w:right="366"/>
              <w:spacing w:after="0"/>
              <w:rPr>
                <w:sz w:val="20"/>
                <w:szCs w:val="20"/>
                <w:color w:val="auto"/>
              </w:rPr>
            </w:pPr>
            <w:r>
              <w:rPr>
                <w:rFonts w:ascii="Arial" w:cs="Arial" w:eastAsia="Arial" w:hAnsi="Arial"/>
                <w:sz w:val="11"/>
                <w:szCs w:val="11"/>
                <w:color w:val="auto"/>
              </w:rPr>
              <w:t>33 800 943355</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rPr>
              <w:t>Netherlands</w:t>
            </w:r>
          </w:p>
        </w:tc>
        <w:tc>
          <w:tcPr>
            <w:tcW w:w="140" w:type="dxa"/>
            <w:vAlign w:val="bottom"/>
          </w:tcPr>
          <w:p>
            <w:pPr>
              <w:spacing w:after="0"/>
              <w:rPr>
                <w:sz w:val="12"/>
                <w:szCs w:val="12"/>
                <w:color w:val="auto"/>
              </w:rPr>
            </w:pPr>
          </w:p>
        </w:tc>
        <w:tc>
          <w:tcPr>
            <w:tcW w:w="1040" w:type="dxa"/>
            <w:vAlign w:val="bottom"/>
          </w:tcPr>
          <w:p>
            <w:pPr>
              <w:jc w:val="right"/>
              <w:ind w:right="206"/>
              <w:spacing w:after="0"/>
              <w:rPr>
                <w:sz w:val="20"/>
                <w:szCs w:val="20"/>
                <w:color w:val="auto"/>
              </w:rPr>
            </w:pPr>
            <w:r>
              <w:rPr>
                <w:rFonts w:ascii="Arial" w:cs="Arial" w:eastAsia="Arial" w:hAnsi="Arial"/>
                <w:sz w:val="11"/>
                <w:szCs w:val="11"/>
                <w:color w:val="auto"/>
                <w:w w:val="99"/>
              </w:rPr>
              <w:t>31 20 795 1090</w:t>
            </w:r>
          </w:p>
        </w:tc>
      </w:tr>
      <w:tr>
        <w:trPr>
          <w:trHeight w:val="144"/>
        </w:trPr>
        <w:tc>
          <w:tcPr>
            <w:tcW w:w="780" w:type="dxa"/>
            <w:vAlign w:val="bottom"/>
            <w:gridSpan w:val="2"/>
          </w:tcPr>
          <w:p>
            <w:pPr>
              <w:spacing w:after="0"/>
              <w:rPr>
                <w:sz w:val="20"/>
                <w:szCs w:val="20"/>
                <w:color w:val="auto"/>
              </w:rPr>
            </w:pPr>
            <w:r>
              <w:rPr>
                <w:rFonts w:ascii="Arial" w:cs="Arial" w:eastAsia="Arial" w:hAnsi="Arial"/>
                <w:sz w:val="11"/>
                <w:szCs w:val="11"/>
                <w:color w:val="auto"/>
                <w:w w:val="97"/>
              </w:rPr>
              <w:t>United Kingdom</w:t>
            </w:r>
          </w:p>
        </w:tc>
        <w:tc>
          <w:tcPr>
            <w:tcW w:w="1040" w:type="dxa"/>
            <w:vAlign w:val="bottom"/>
          </w:tcPr>
          <w:p>
            <w:pPr>
              <w:jc w:val="right"/>
              <w:spacing w:after="0"/>
              <w:rPr>
                <w:sz w:val="20"/>
                <w:szCs w:val="20"/>
                <w:color w:val="auto"/>
              </w:rPr>
            </w:pPr>
            <w:r>
              <w:rPr>
                <w:rFonts w:ascii="Arial" w:cs="Arial" w:eastAsia="Arial" w:hAnsi="Arial"/>
                <w:sz w:val="11"/>
                <w:szCs w:val="11"/>
                <w:color w:val="auto"/>
              </w:rPr>
              <w:t>44 800 358 0970</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w w:val="93"/>
              </w:rPr>
              <w:t>United States</w:t>
            </w:r>
          </w:p>
        </w:tc>
        <w:tc>
          <w:tcPr>
            <w:tcW w:w="140" w:type="dxa"/>
            <w:vAlign w:val="bottom"/>
          </w:tcPr>
          <w:p>
            <w:pPr>
              <w:spacing w:after="0"/>
              <w:rPr>
                <w:sz w:val="12"/>
                <w:szCs w:val="12"/>
                <w:color w:val="auto"/>
              </w:rPr>
            </w:pPr>
          </w:p>
        </w:tc>
        <w:tc>
          <w:tcPr>
            <w:tcW w:w="1040" w:type="dxa"/>
            <w:vAlign w:val="bottom"/>
          </w:tcPr>
          <w:p>
            <w:pPr>
              <w:jc w:val="right"/>
              <w:ind w:right="106"/>
              <w:spacing w:after="0"/>
              <w:rPr>
                <w:sz w:val="20"/>
                <w:szCs w:val="20"/>
                <w:color w:val="auto"/>
              </w:rPr>
            </w:pPr>
            <w:r>
              <w:rPr>
                <w:rFonts w:ascii="Arial" w:cs="Arial" w:eastAsia="Arial" w:hAnsi="Arial"/>
                <w:sz w:val="11"/>
                <w:szCs w:val="11"/>
                <w:color w:val="auto"/>
              </w:rPr>
              <w:t>1 888 415 4250</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rPr>
              <w:t>Japan</w:t>
            </w:r>
          </w:p>
        </w:tc>
        <w:tc>
          <w:tcPr>
            <w:tcW w:w="1180" w:type="dxa"/>
            <w:vAlign w:val="bottom"/>
            <w:gridSpan w:val="2"/>
          </w:tcPr>
          <w:p>
            <w:pPr>
              <w:jc w:val="right"/>
              <w:ind w:right="366"/>
              <w:spacing w:after="0"/>
              <w:rPr>
                <w:sz w:val="20"/>
                <w:szCs w:val="20"/>
                <w:color w:val="auto"/>
              </w:rPr>
            </w:pPr>
            <w:r>
              <w:rPr>
                <w:rFonts w:ascii="Arial" w:cs="Arial" w:eastAsia="Arial" w:hAnsi="Arial"/>
                <w:sz w:val="11"/>
                <w:szCs w:val="11"/>
                <w:color w:val="auto"/>
                <w:w w:val="96"/>
              </w:rPr>
              <w:t>81 3 4578 9081</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rPr>
              <w:t>Switzerland</w:t>
            </w:r>
          </w:p>
        </w:tc>
        <w:tc>
          <w:tcPr>
            <w:tcW w:w="140" w:type="dxa"/>
            <w:vAlign w:val="bottom"/>
          </w:tcPr>
          <w:p>
            <w:pPr>
              <w:spacing w:after="0"/>
              <w:rPr>
                <w:sz w:val="12"/>
                <w:szCs w:val="12"/>
                <w:color w:val="auto"/>
              </w:rPr>
            </w:pPr>
          </w:p>
        </w:tc>
        <w:tc>
          <w:tcPr>
            <w:tcW w:w="1040" w:type="dxa"/>
            <w:vAlign w:val="bottom"/>
          </w:tcPr>
          <w:p>
            <w:pPr>
              <w:jc w:val="right"/>
              <w:ind w:right="206"/>
              <w:spacing w:after="0"/>
              <w:rPr>
                <w:sz w:val="20"/>
                <w:szCs w:val="20"/>
                <w:color w:val="auto"/>
              </w:rPr>
            </w:pPr>
            <w:r>
              <w:rPr>
                <w:rFonts w:ascii="Arial" w:cs="Arial" w:eastAsia="Arial" w:hAnsi="Arial"/>
                <w:sz w:val="11"/>
                <w:szCs w:val="11"/>
                <w:color w:val="auto"/>
                <w:w w:val="95"/>
              </w:rPr>
              <w:t>41 43 210 11 32</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VYVGART</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VYVGART® (efgartigimod alfa fcab) is a human IgG1 antibody fragment that binds to the neonatal Fc receptor (FcRn), resulting in the reduction of circulating IgG autoantibodies. It is the first approved FcRn blocker for the treatment of generalized myasthenia gravis (gMG) and chronic inflammatory demyelinating polyneuropathy (CIDP) globally, and for primary immune thrombocytopenia (ITP) in Japan. VYVGART SC is a subcutaneous combination of efgartigimod alfa and recombinant human hyaluronidase PH20 (rHuPH20), Halozyme’s ENHANZE® drug delivery technology to facilitate subcutaneous injection delivery of biologics. It is marketed as VYVGART® Hytrulo in the U.S., VYVGART SC in Europe, VYVDURA® in Japan, and may be marketed under different proprietary names following approval in other regions.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argenx</w:t>
      </w:r>
    </w:p>
    <w:p>
      <w:pPr>
        <w:spacing w:after="0" w:line="126" w:lineRule="exact"/>
        <w:rPr>
          <w:sz w:val="20"/>
          <w:szCs w:val="20"/>
          <w:color w:val="auto"/>
        </w:rPr>
      </w:pPr>
    </w:p>
    <w:p>
      <w:pPr>
        <w:ind w:right="220"/>
        <w:spacing w:after="0" w:line="277" w:lineRule="auto"/>
        <w:rPr>
          <w:sz w:val="20"/>
          <w:szCs w:val="20"/>
          <w:color w:val="auto"/>
        </w:rPr>
      </w:pPr>
      <w:r>
        <w:rPr>
          <w:rFonts w:ascii="Arial" w:cs="Arial" w:eastAsia="Arial" w:hAnsi="Arial"/>
          <w:sz w:val="11"/>
          <w:szCs w:val="11"/>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Arial" w:cs="Arial" w:eastAsia="Arial" w:hAnsi="Arial"/>
          <w:sz w:val="11"/>
          <w:szCs w:val="11"/>
          <w:u w:val="single" w:color="auto"/>
          <w:color w:val="0563C1"/>
        </w:rPr>
        <w:t>www.argenx.com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0563C1"/>
        </w:rPr>
        <w:t>LinkedIn</w:t>
      </w:r>
      <w:r>
        <w:rPr>
          <w:rFonts w:ascii="Arial" w:cs="Arial" w:eastAsia="Arial" w:hAnsi="Arial"/>
          <w:sz w:val="11"/>
          <w:szCs w:val="11"/>
          <w:color w:val="auto"/>
        </w:rPr>
        <w:t xml:space="preserve">, </w:t>
      </w:r>
      <w:r>
        <w:rPr>
          <w:rFonts w:ascii="Arial" w:cs="Arial" w:eastAsia="Arial" w:hAnsi="Arial"/>
          <w:sz w:val="11"/>
          <w:szCs w:val="11"/>
          <w:u w:val="single" w:color="auto"/>
          <w:color w:val="0563C1"/>
        </w:rPr>
        <w:t>Instagram</w:t>
      </w:r>
      <w:r>
        <w:rPr>
          <w:rFonts w:ascii="Arial" w:cs="Arial" w:eastAsia="Arial" w:hAnsi="Arial"/>
          <w:sz w:val="11"/>
          <w:szCs w:val="11"/>
          <w:color w:val="auto"/>
        </w:rPr>
        <w:t xml:space="preserve">, </w:t>
      </w:r>
      <w:r>
        <w:rPr>
          <w:rFonts w:ascii="Arial" w:cs="Arial" w:eastAsia="Arial" w:hAnsi="Arial"/>
          <w:sz w:val="11"/>
          <w:szCs w:val="11"/>
          <w:u w:val="single" w:color="auto"/>
          <w:color w:val="0563C1"/>
        </w:rPr>
        <w:t>Facebook</w:t>
      </w:r>
      <w:r>
        <w:rPr>
          <w:rFonts w:ascii="Arial" w:cs="Arial" w:eastAsia="Arial" w:hAnsi="Arial"/>
          <w:sz w:val="11"/>
          <w:szCs w:val="11"/>
          <w:color w:val="000000"/>
        </w:rPr>
        <w:t>, and</w:t>
      </w:r>
      <w:r>
        <w:rPr>
          <w:rFonts w:ascii="Arial" w:cs="Arial" w:eastAsia="Arial" w:hAnsi="Arial"/>
          <w:sz w:val="11"/>
          <w:szCs w:val="11"/>
          <w:color w:val="0563C1"/>
        </w:rPr>
        <w:t xml:space="preserve"> </w:t>
      </w:r>
      <w:r>
        <w:rPr>
          <w:rFonts w:ascii="Arial" w:cs="Arial" w:eastAsia="Arial" w:hAnsi="Arial"/>
          <w:sz w:val="11"/>
          <w:szCs w:val="11"/>
          <w:u w:val="single" w:color="auto"/>
          <w:color w:val="0563C1"/>
        </w:rPr>
        <w:t>YouTube</w:t>
      </w:r>
      <w:r>
        <w:rPr>
          <w:rFonts w:ascii="Arial" w:cs="Arial" w:eastAsia="Arial" w:hAnsi="Arial"/>
          <w:sz w:val="11"/>
          <w:szCs w:val="11"/>
          <w:color w:val="000000"/>
        </w:rPr>
        <w:t>.</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This press release contains inside information within the meaning of Article 7(1) of the EU Market Abuse Regulation (Regulation 596/2014).</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 further information, please contact:</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Media:</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Ben Petok</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563C1"/>
        </w:rPr>
        <w:t>bpetok@argenx.com</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Investors: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Alexandra Roy</w:t>
      </w:r>
    </w:p>
    <w:p>
      <w:pPr>
        <w:spacing w:after="0"/>
        <w:rPr>
          <w:sz w:val="20"/>
          <w:szCs w:val="20"/>
          <w:color w:val="auto"/>
        </w:rPr>
      </w:pPr>
      <w:r>
        <w:rPr>
          <w:rFonts w:ascii="Arial" w:cs="Arial" w:eastAsia="Arial" w:hAnsi="Arial"/>
          <w:sz w:val="11"/>
          <w:szCs w:val="11"/>
          <w:u w:val="single" w:color="auto"/>
          <w:color w:val="0563C1"/>
        </w:rPr>
        <w:t>aroy@argenx.com</w:t>
      </w:r>
    </w:p>
    <w:p>
      <w:pPr>
        <w:spacing w:after="0" w:line="9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Forward-looking Statements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1"/>
          <w:szCs w:val="11"/>
          <w:color w:val="auto"/>
        </w:rPr>
        <w:t>The contents of this announcement include statements that are, or may be deemed to be, “forward-looking statements.” These forward-looking statements can be identified by the use of forward-looking terminology, including the terms “advance,” “aim,” “commit,” “continue,” “drive,” “is,” “potential,” “reinforce,” “represent,” and</w:t>
      </w:r>
    </w:p>
    <w:p>
      <w:pPr>
        <w:sectPr>
          <w:pgSz w:w="11900" w:h="16838" w:orient="portrait"/>
          <w:cols w:equalWidth="0" w:num="1">
            <w:col w:w="11300"/>
          </w:cols>
          <w:pgMar w:left="300" w:top="1103" w:right="299" w:bottom="1440" w:gutter="0" w:footer="0" w:header="0"/>
        </w:sectPr>
      </w:pPr>
    </w:p>
    <w:bookmarkStart w:id="8" w:name="page9"/>
    <w:bookmarkEnd w:id="8"/>
    <w:p>
      <w:pPr>
        <w:jc w:val="both"/>
        <w:spacing w:after="0" w:line="144" w:lineRule="exact"/>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425450</wp:posOffset>
            </wp:positionH>
            <wp:positionV relativeFrom="page">
              <wp:posOffset>88900</wp:posOffset>
            </wp:positionV>
            <wp:extent cx="77724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“will,” and include statements argenx makes concerning its belief in VYVGART’s potential to become the first and only approved therapy across MG, pending FDA decisions on label expansions into seronegative and ocular populations; its extension of its leadership in FcRn into rheumatology, beginning with myositis; the progression of its next pipeline candidate, empasiprubart, towards its first registrational readout in MMN; its advancement of a broad and differentiated pipeline; its focus on delivering transformative outcomes for patients while creating sustained value for all stakeholders; its advancement of its ‘Vision 2030’ anchored in the ambition to treat 50,000 patients globally with its medicines, secure 10 labeled indications, and progress five pipeline candidates into Phase 3 development by 2030; driving broad adoption as the leading precision biologic in MG and CIDP while advancing multiple label expansions; its belief that it is also shaping the future of FcRn medicines by advancing new pipeline candidates and delivery modalities; the Prescription Drug User Fee Act (PDUFA) target action date of May 10, 2026 for anti-acetylcholine receptor antibody negative (AChR-Ab-) gMG (MuSK+, LRP4+ and triple seronegative); its planned sBLA submission to expand VYVGART label into oMG; its topline results from ALKIVIA study (myositis) expected in third quarter of 2026; its topline results expected for primary ITP (ADVANCE-NEXT) in the first half of 2027; its registrational study in Graves’ disease (GD) expected to initiate in 2026, expanding development into thyroid-driven autoimmunity; its topline results from UNITY study (Sjogren’s disease) expected in second half of 2027; its VYVGART SC autoinjector expected to launch in 2027 for all approved indications; its progression of two future FcRn molecules in 2026: ARGX</w:t>
      </w:r>
      <w:r>
        <w:rPr>
          <w:rFonts w:ascii="MS PGothic" w:cs="MS PGothic" w:eastAsia="MS PGothic" w:hAnsi="MS PGothic"/>
          <w:sz w:val="11"/>
          <w:szCs w:val="11"/>
          <w:color w:val="auto"/>
        </w:rPr>
        <w:t>‑</w:t>
      </w:r>
      <w:r>
        <w:rPr>
          <w:rFonts w:ascii="Arial" w:cs="Arial" w:eastAsia="Arial" w:hAnsi="Arial"/>
          <w:sz w:val="11"/>
          <w:szCs w:val="11"/>
          <w:color w:val="auto"/>
        </w:rPr>
        <w:t>213 expected to enter patient studies, and ARGX</w:t>
      </w:r>
      <w:r>
        <w:rPr>
          <w:rFonts w:ascii="MS PGothic" w:cs="MS PGothic" w:eastAsia="MS PGothic" w:hAnsi="MS PGothic"/>
          <w:sz w:val="11"/>
          <w:szCs w:val="11"/>
          <w:color w:val="auto"/>
        </w:rPr>
        <w:t>‑</w:t>
      </w:r>
      <w:r>
        <w:rPr>
          <w:rFonts w:ascii="Arial" w:cs="Arial" w:eastAsia="Arial" w:hAnsi="Arial"/>
          <w:sz w:val="11"/>
          <w:szCs w:val="11"/>
          <w:color w:val="auto"/>
        </w:rPr>
        <w:t>124 expected to complete Phase 1 development; its advancement of empasiprubart, including (1) topline results from EMPASSION study (MMN) expected in fourth quarter of 2026; (2) topline results from EMVIGORATE and EMNERGIZE studies (CIDP) expected in second half of 2027; (3) the decision for Phase 2 VARVARA study (Delayed Graft Function, DGF) expected mid-year 2026 following completion of 52-week efficacy analysis; and (4) the ADAPT-Forward combination study ongoing to evaluate empasiprubart as an add on therapy to efgartigimod in gMG; its expectation that the argenx pipeline will include a total of ten molecules in clinical development, including: adimanebart (a MuSK agonist), which is expected to enter Phase 3 development in congenital myasthenic syndromes (CMS); ARGX</w:t>
      </w:r>
      <w:r>
        <w:rPr>
          <w:rFonts w:ascii="MS PGothic" w:cs="MS PGothic" w:eastAsia="MS PGothic" w:hAnsi="MS PGothic"/>
          <w:sz w:val="11"/>
          <w:szCs w:val="11"/>
          <w:color w:val="auto"/>
        </w:rPr>
        <w:t>‑</w:t>
      </w:r>
      <w:r>
        <w:rPr>
          <w:rFonts w:ascii="Arial" w:cs="Arial" w:eastAsia="Arial" w:hAnsi="Arial"/>
          <w:sz w:val="11"/>
          <w:szCs w:val="11"/>
          <w:color w:val="auto"/>
        </w:rPr>
        <w:t>121 (anti</w:t>
      </w:r>
      <w:r>
        <w:rPr>
          <w:rFonts w:ascii="MS PGothic" w:cs="MS PGothic" w:eastAsia="MS PGothic" w:hAnsi="MS PGothic"/>
          <w:sz w:val="11"/>
          <w:szCs w:val="11"/>
          <w:color w:val="auto"/>
        </w:rPr>
        <w:t>‑</w:t>
      </w:r>
      <w:r>
        <w:rPr>
          <w:rFonts w:ascii="Arial" w:cs="Arial" w:eastAsia="Arial" w:hAnsi="Arial"/>
          <w:sz w:val="11"/>
          <w:szCs w:val="11"/>
          <w:color w:val="auto"/>
        </w:rPr>
        <w:t>IgA) and ARGX</w:t>
      </w:r>
      <w:r>
        <w:rPr>
          <w:rFonts w:ascii="MS PGothic" w:cs="MS PGothic" w:eastAsia="MS PGothic" w:hAnsi="MS PGothic"/>
          <w:sz w:val="11"/>
          <w:szCs w:val="11"/>
          <w:color w:val="auto"/>
        </w:rPr>
        <w:t>‑</w:t>
      </w:r>
      <w:r>
        <w:rPr>
          <w:rFonts w:ascii="Arial" w:cs="Arial" w:eastAsia="Arial" w:hAnsi="Arial"/>
          <w:sz w:val="11"/>
          <w:szCs w:val="11"/>
          <w:color w:val="auto"/>
        </w:rPr>
        <w:t>109 (anti</w:t>
      </w:r>
      <w:r>
        <w:rPr>
          <w:rFonts w:ascii="MS PGothic" w:cs="MS PGothic" w:eastAsia="MS PGothic" w:hAnsi="MS PGothic"/>
          <w:sz w:val="11"/>
          <w:szCs w:val="11"/>
          <w:color w:val="auto"/>
        </w:rPr>
        <w:t>‑</w:t>
      </w:r>
      <w:r>
        <w:rPr>
          <w:rFonts w:ascii="Arial" w:cs="Arial" w:eastAsia="Arial" w:hAnsi="Arial"/>
          <w:sz w:val="11"/>
          <w:szCs w:val="11"/>
          <w:color w:val="auto"/>
        </w:rPr>
        <w:t>IL</w:t>
      </w:r>
      <w:r>
        <w:rPr>
          <w:rFonts w:ascii="MS PGothic" w:cs="MS PGothic" w:eastAsia="MS PGothic" w:hAnsi="MS PGothic"/>
          <w:sz w:val="11"/>
          <w:szCs w:val="11"/>
          <w:color w:val="auto"/>
        </w:rPr>
        <w:t>‑</w:t>
      </w:r>
      <w:r>
        <w:rPr>
          <w:rFonts w:ascii="Arial" w:cs="Arial" w:eastAsia="Arial" w:hAnsi="Arial"/>
          <w:sz w:val="11"/>
          <w:szCs w:val="11"/>
          <w:color w:val="auto"/>
        </w:rPr>
        <w:t>6), both of which are advancing into Phase 2 studies; and three additional molecules from the Immunology Innovation Program (IIP) on track to enter Phase 1 in 2026; its belief that these programs collectively support its goal of launching, on average, one new pipeline candidate per year; and its belief that (1) the CMS registrational study for Adimanebart is on track to start in third quarter of 2026; (2) the Phase 2 study of ARGX-121 in IgA nephropathy (IgAN) is expected to start in 2026; and (3) three new first-in-class molecules are on track to enter Phase 1 in 2026, including ARGX</w:t>
      </w:r>
      <w:r>
        <w:rPr>
          <w:rFonts w:ascii="MS PGothic" w:cs="MS PGothic" w:eastAsia="MS PGothic" w:hAnsi="MS PGothic"/>
          <w:sz w:val="11"/>
          <w:szCs w:val="11"/>
          <w:color w:val="auto"/>
        </w:rPr>
        <w:t>‑</w:t>
      </w:r>
      <w:r>
        <w:rPr>
          <w:rFonts w:ascii="Arial" w:cs="Arial" w:eastAsia="Arial" w:hAnsi="Arial"/>
          <w:sz w:val="11"/>
          <w:szCs w:val="11"/>
          <w:color w:val="auto"/>
        </w:rPr>
        <w:t>118 (Galectin</w:t>
      </w:r>
      <w:r>
        <w:rPr>
          <w:rFonts w:ascii="MS PGothic" w:cs="MS PGothic" w:eastAsia="MS PGothic" w:hAnsi="MS PGothic"/>
          <w:sz w:val="11"/>
          <w:szCs w:val="11"/>
          <w:color w:val="auto"/>
        </w:rPr>
        <w:t>‑</w:t>
      </w:r>
      <w:r>
        <w:rPr>
          <w:rFonts w:ascii="Arial" w:cs="Arial" w:eastAsia="Arial" w:hAnsi="Arial"/>
          <w:sz w:val="11"/>
          <w:szCs w:val="11"/>
          <w:color w:val="auto"/>
        </w:rPr>
        <w:t>10 inhibitor), ARGX</w:t>
      </w:r>
      <w:r>
        <w:rPr>
          <w:rFonts w:ascii="MS PGothic" w:cs="MS PGothic" w:eastAsia="MS PGothic" w:hAnsi="MS PGothic"/>
          <w:sz w:val="11"/>
          <w:szCs w:val="11"/>
          <w:color w:val="auto"/>
        </w:rPr>
        <w:t>‑</w:t>
      </w:r>
      <w:r>
        <w:rPr>
          <w:rFonts w:ascii="Arial" w:cs="Arial" w:eastAsia="Arial" w:hAnsi="Arial"/>
          <w:sz w:val="11"/>
          <w:szCs w:val="11"/>
          <w:color w:val="auto"/>
        </w:rPr>
        <w:t>125 (bispecific antibody), and TSP</w:t>
      </w:r>
      <w:r>
        <w:rPr>
          <w:rFonts w:ascii="MS PGothic" w:cs="MS PGothic" w:eastAsia="MS PGothic" w:hAnsi="MS PGothic"/>
          <w:sz w:val="11"/>
          <w:szCs w:val="11"/>
          <w:color w:val="auto"/>
        </w:rPr>
        <w:t>‑</w:t>
      </w:r>
      <w:r>
        <w:rPr>
          <w:rFonts w:ascii="Arial" w:cs="Arial" w:eastAsia="Arial" w:hAnsi="Arial"/>
          <w:sz w:val="11"/>
          <w:szCs w:val="11"/>
          <w:color w:val="auto"/>
        </w:rPr>
        <w:t>101, the Fn14</w:t>
      </w:r>
      <w:r>
        <w:rPr>
          <w:rFonts w:ascii="MS PGothic" w:cs="MS PGothic" w:eastAsia="MS PGothic" w:hAnsi="MS PGothic"/>
          <w:sz w:val="11"/>
          <w:szCs w:val="11"/>
          <w:color w:val="auto"/>
        </w:rPr>
        <w:t>‑</w:t>
      </w:r>
      <w:r>
        <w:rPr>
          <w:rFonts w:ascii="Arial" w:cs="Arial" w:eastAsia="Arial" w:hAnsi="Arial"/>
          <w:sz w:val="11"/>
          <w:szCs w:val="11"/>
          <w:color w:val="auto"/>
        </w:rPr>
        <w:t>targeting program from the Tensegrity research collaboration.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Alternative Performance Measures Statement</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In this document, argenx's financial results are provided in accordance with IFRS® Accounting Standards (IFRS) and using a non-IFRS financial measure, cash, cash equivalents and current financial assets.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This value should not be viewed as a substitute for the company’s IFRS financial information and is provided as a complement to financial information provided in accordance with IFRS and should be read in conjunction with the most directly comparable IFRS financial information as set out below. Management believes this non-IFRS financial measure is useful for securities analysts, investors and other interested parties to gain a more complete understanding of the company's available financial liquidities given that the company’s current financial assets are held in term accounts with an initial maturity of more than three months but less than twelve that may be used</w:t>
      </w:r>
    </w:p>
    <w:p>
      <w:pPr>
        <w:sectPr>
          <w:pgSz w:w="11900" w:h="16838" w:orient="portrait"/>
          <w:cols w:equalWidth="0" w:num="1">
            <w:col w:w="11300"/>
          </w:cols>
          <w:pgMar w:left="300" w:top="1103" w:right="299" w:bottom="1440" w:gutter="0" w:footer="0" w:header="0"/>
        </w:sectPr>
      </w:pPr>
    </w:p>
    <w:bookmarkStart w:id="9" w:name="page10"/>
    <w:bookmarkEnd w:id="9"/>
    <w:p>
      <w:pPr>
        <w:ind w:right="20"/>
        <w:spacing w:after="0" w:line="26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425450</wp:posOffset>
            </wp:positionH>
            <wp:positionV relativeFrom="page">
              <wp:posOffset>88900</wp:posOffset>
            </wp:positionV>
            <wp:extent cx="77724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to meet its financial obligations. Such non-IFRS financial information, as calculated herein, may not be comparable to similarly named measures used by other companies and should not be considered comparable to IFRS financial measures. Non-IFRS financial measures have limitations as an analytical tool and should not be considered in isolation from, or as a substitute for, an analysis of the company's financial results as reported under IFRS.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A reconciliation of the IFRS financial information to non-IFRS financial information is included below:</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Cash, cash equivalents and current financial assets totaled $4.9 billion as of March 31, 2026, compared to $4.4 billion as of December 31, 2025. The balance as of the period ended March 31, 2026 consisted of $4.3 billion in cash, cash equivalents and $0.6 billion in current financial assets and the balance as of the period ended December 31, 2025 consisted of $3.5 billion in cash and cash equivalents and $0.9 billion in current financial assets.</w:t>
      </w:r>
    </w:p>
    <w:p>
      <w:pPr>
        <w:sectPr>
          <w:pgSz w:w="11900" w:h="16838" w:orient="portrait"/>
          <w:cols w:equalWidth="0" w:num="1">
            <w:col w:w="11300"/>
          </w:cols>
          <w:pgMar w:left="300" w:top="1094" w:right="299" w:bottom="1440" w:gutter="0" w:footer="0" w:header="0"/>
        </w:sectPr>
      </w:pPr>
    </w:p>
    <w:bookmarkStart w:id="10" w:name="page11"/>
    <w:bookmarkEnd w:id="10"/>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17" Type="http://schemas.openxmlformats.org/officeDocument/2006/relationships/hyperlink" Target="https://www.sec.gov/Archives/edgar/data/1697862/000110465918037616/a18-14643_3s8.htm" TargetMode="External"/><Relationship Id="rId18" Type="http://schemas.openxmlformats.org/officeDocument/2006/relationships/hyperlink" Target="https://www.sec.gov/Archives/edgar/data/1697862/000110465921097298/tm2123453d1_s8.htm" TargetMode="External"/><Relationship Id="rId19" Type="http://schemas.openxmlformats.org/officeDocument/2006/relationships/hyperlink" Target="https://www.sec.gov/Archives/edgar/data/1697862/000110465923104307/tm2326371d1_s8.htm" TargetMode="External"/><Relationship Id="rId20" Type="http://schemas.openxmlformats.org/officeDocument/2006/relationships/hyperlink" Target="https://www.sec.gov/Archives/edgar/data/1697862/000110465925122044/tm253322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2026-05-07T07:49:48Z</dcterms:created>
  <dcterms:modified xsi:type="dcterms:W3CDTF">2026-05-07T07:49:48Z</dcterms:modified>
</cp:coreProperties>
</file>