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283"/>
        <w:ind w:left="0" w:right="0" w:hanging="0"/>
        <w:jc w:val="center"/>
        <w:rPr>
          <w:rFonts w:ascii="Times New Roman;Times;serif" w:hAnsi="Times New Roman;Times;serif"/>
          <w:b/>
          <w:color w:val="000000"/>
          <w:sz w:val="36"/>
        </w:rPr>
      </w:pPr>
      <w:bookmarkStart w:id="0" w:name="ny20080629x2_sctota_100-regcov_pg1"/>
      <w:bookmarkStart w:id="1" w:name="ny20080629x2_sctota.htm"/>
      <w:bookmarkStart w:id="2" w:name="ksny20080629x2_sctota"/>
      <w:bookmarkEnd w:id="0"/>
      <w:bookmarkEnd w:id="1"/>
      <w:bookmarkEnd w:id="2"/>
      <w:r>
        <w:rPr>
          <w:rFonts w:ascii="Times New Roman;Times;serif" w:hAnsi="Times New Roman;Times;serif"/>
          <w:b/>
          <w:color w:val="000000"/>
          <w:sz w:val="36"/>
        </w:rPr>
        <w:t xml:space="preserve">UNITED STATES </w:t>
      </w:r>
    </w:p>
    <w:p>
      <w:pPr>
        <w:pStyle w:val="TextBody"/>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SECURITIES AND EXCHANGE COMMISSION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Washington, D.C. 20549</w:t>
      </w:r>
    </w:p>
    <w:p>
      <w:pPr>
        <w:pStyle w:val="TextBody"/>
        <w:bidi w:val="0"/>
        <w:spacing w:before="1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TO </w:t>
      </w:r>
    </w:p>
    <w:p>
      <w:pPr>
        <w:pStyle w:val="TextBody"/>
        <w:bidi w:val="0"/>
        <w:spacing w:before="5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TENDER OFFER STATEMENT UNDER SECTION 14(D)(1) OR 13(E)(1)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 THE 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 3</w:t>
      </w:r>
    </w:p>
    <w:p>
      <w:pPr>
        <w:pStyle w:val="TextBody"/>
        <w:bidi w:val="0"/>
        <w:spacing w:before="1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FORTE BIOSCIENCES, INC.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(Name of Subject Company (Issuer)) </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AVENA MERGER SUB INC.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(Offeror)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A Wholly Owned Subsidiary of </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BV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(Parent of Offeror)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A Wholly Owned Subsidiary of </w:t>
      </w:r>
    </w:p>
    <w:p>
      <w:pPr>
        <w:pStyle w:val="TextBody"/>
        <w:bidi w:val="0"/>
        <w:spacing w:before="1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SE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(Parent of Offeror)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(Names of Filing Persons (identifying status as offeror, issuer or other person))</w:t>
      </w:r>
    </w:p>
    <w:p>
      <w:pPr>
        <w:pStyle w:val="TextBody"/>
        <w:bidi w:val="0"/>
        <w:spacing w:before="17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Common Stock, par value $0.001 per share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(Title of Class of Securities) </w:t>
      </w:r>
    </w:p>
    <w:p>
      <w:pPr>
        <w:pStyle w:val="TextBody"/>
        <w:bidi w:val="0"/>
        <w:spacing w:before="13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34962G208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(CUSIP Number of Class of Securities) </w:t>
      </w:r>
    </w:p>
    <w:p>
      <w:pPr>
        <w:pStyle w:val="TextBody"/>
        <w:bidi w:val="0"/>
        <w:spacing w:before="13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Hemamalini (Malini) Moorthy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argenx BV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Industriepark Zwijnaarde 7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9052 Zwijnaarde (Ghent)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Belgium</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+31(0)10 70 38 441</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(Name, Address and Telephone Number of Person Authorized to Receive Notices and Communications on Behalf of Filing Persons)</w:t>
      </w:r>
    </w:p>
    <w:p>
      <w:pPr>
        <w:pStyle w:val="TextBody"/>
        <w:bidi w:val="0"/>
        <w:spacing w:before="160" w:after="283"/>
        <w:jc w:val="center"/>
        <w:rPr>
          <w:rFonts w:ascii="Times New Roman;Times;serif" w:hAnsi="Times New Roman;Times;serif"/>
          <w:b/>
          <w:i/>
          <w:color w:val="000000"/>
          <w:sz w:val="19"/>
        </w:rPr>
      </w:pPr>
      <w:r>
        <w:rPr>
          <w:rFonts w:ascii="Times New Roman;Times;serif" w:hAnsi="Times New Roman;Times;serif"/>
          <w:b/>
          <w:i/>
          <w:color w:val="000000"/>
          <w:sz w:val="19"/>
        </w:rPr>
        <w:t xml:space="preserve">Copies to: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Damien Zoubek, Esq.</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Oliver J. Board, Esq.</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Freshfields US LLP</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3 World Trade Center</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175 Greenwich Street</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New York, NY 10007</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(212) 277-4000</w:t>
      </w:r>
    </w:p>
    <w:tbl>
      <w:tblPr>
        <w:tblW w:w="10205" w:type="dxa"/>
        <w:jc w:val="left"/>
        <w:tblInd w:w="0" w:type="dxa"/>
        <w:tblLayout w:type="fixed"/>
        <w:tblCellMar>
          <w:top w:w="0" w:type="dxa"/>
          <w:left w:w="0" w:type="dxa"/>
          <w:bottom w:w="0" w:type="dxa"/>
          <w:right w:w="0" w:type="dxa"/>
        </w:tblCellMar>
      </w:tblPr>
      <w:tblGrid>
        <w:gridCol w:w="290"/>
        <w:gridCol w:w="140"/>
        <w:gridCol w:w="140"/>
        <w:gridCol w:w="9635"/>
      </w:tblGrid>
      <w:tr>
        <w:trPr/>
        <w:tc>
          <w:tcPr>
            <w:tcW w:w="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5" w:type="dxa"/>
            <w:tcBorders/>
            <w:vAlign w:val="center"/>
          </w:tcPr>
          <w:p>
            <w:pPr>
              <w:pStyle w:val="TableContents"/>
              <w:bidi w:val="0"/>
              <w:spacing w:before="0" w:after="0"/>
              <w:jc w:val="left"/>
              <w:rPr/>
            </w:pPr>
            <w:r>
              <w:rPr/>
              <w:t> </w:t>
            </w:r>
          </w:p>
        </w:tc>
      </w:tr>
      <w:tr>
        <w:trPr/>
        <w:tc>
          <w:tcPr>
            <w:tcW w:w="290" w:type="dxa"/>
            <w:tcBorders/>
            <w:vAlign w:val="center"/>
          </w:tcPr>
          <w:p>
            <w:pPr>
              <w:pStyle w:val="TableContents"/>
              <w:bidi w:val="0"/>
              <w:spacing w:before="0" w:after="283"/>
              <w:ind w:left="0" w:right="0" w:hanging="0"/>
              <w:jc w:val="left"/>
              <w:rPr>
                <w:color w:val="000000"/>
              </w:rPr>
            </w:pPr>
            <w:r>
              <w:rPr>
                <w:color w:val="000000"/>
              </w:rPr>
              <w:t>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Check the box if the filing relates solely to preliminary communications made before the commencement of a tender offer. Check the appropriate boxes below to designate any transactions to which the statement relates:</w:t>
            </w:r>
          </w:p>
        </w:tc>
      </w:tr>
    </w:tbl>
    <w:tbl>
      <w:tblPr>
        <w:tblW w:w="4985" w:type="dxa"/>
        <w:jc w:val="left"/>
        <w:tblInd w:w="0" w:type="dxa"/>
        <w:tblLayout w:type="fixed"/>
        <w:tblCellMar>
          <w:top w:w="0" w:type="dxa"/>
          <w:left w:w="0" w:type="dxa"/>
          <w:bottom w:w="0" w:type="dxa"/>
          <w:right w:w="0" w:type="dxa"/>
        </w:tblCellMar>
      </w:tblPr>
      <w:tblGrid>
        <w:gridCol w:w="155"/>
        <w:gridCol w:w="140"/>
        <w:gridCol w:w="140"/>
        <w:gridCol w:w="275"/>
        <w:gridCol w:w="140"/>
        <w:gridCol w:w="140"/>
        <w:gridCol w:w="39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Third-party tender offer subject to Rule 14d-1.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Issuer tender offer subject to Rule 13e-4.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Going-private transaction subject to Rule 13e-3.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Amendment to Schedule 13D under Rule 13d-2.</w:t>
            </w:r>
          </w:p>
        </w:tc>
      </w:tr>
    </w:tbl>
    <w:p>
      <w:pPr>
        <w:pStyle w:val="TextBody"/>
        <w:bidi w:val="0"/>
        <w:spacing w:before="120" w:after="283"/>
        <w:ind w:left="12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Check the following box if the filing is a final amendment reporting the results of the tender offer: ☒ </w:t>
      </w:r>
    </w:p>
    <w:p>
      <w:pPr>
        <w:pStyle w:val="TextBody"/>
        <w:bidi w:val="0"/>
        <w:spacing w:before="4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applicable, check the appropriate box(es) below to designate the appropriate rule provision(s) relied upon: </w:t>
      </w:r>
    </w:p>
    <w:tbl>
      <w:tblPr>
        <w:tblW w:w="5435" w:type="dxa"/>
        <w:jc w:val="left"/>
        <w:tblInd w:w="0" w:type="dxa"/>
        <w:tblLayout w:type="fixed"/>
        <w:tblCellMar>
          <w:top w:w="0" w:type="dxa"/>
          <w:left w:w="0" w:type="dxa"/>
          <w:bottom w:w="0" w:type="dxa"/>
          <w:right w:w="0" w:type="dxa"/>
        </w:tblCellMar>
      </w:tblPr>
      <w:tblGrid>
        <w:gridCol w:w="155"/>
        <w:gridCol w:w="140"/>
        <w:gridCol w:w="140"/>
        <w:gridCol w:w="275"/>
        <w:gridCol w:w="140"/>
        <w:gridCol w:w="140"/>
        <w:gridCol w:w="44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Rule 13e-4(i) (Cross-Border Issuer Tender Offer)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Rule 14d-1(d) (Cross-Border Third-Party Tender Offer)</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3" w:name="ny20080629x2_sctota_101-note_pg1"/>
      <w:bookmarkEnd w:id="3"/>
      <w:r>
        <w:rPr>
          <w:rFonts w:ascii="Times New Roman;Times;serif" w:hAnsi="Times New Roman;Times;serif"/>
          <w:color w:val="000000"/>
          <w:sz w:val="20"/>
        </w:rPr>
        <w:t>This Amendment No. 3 (this “</w:t>
      </w:r>
      <w:r>
        <w:rPr>
          <w:rFonts w:ascii="Times New Roman;Times;serif" w:hAnsi="Times New Roman;Times;serif"/>
          <w:b/>
          <w:color w:val="000000"/>
          <w:sz w:val="20"/>
        </w:rPr>
        <w:t>Amendment</w:t>
      </w:r>
      <w:r>
        <w:rPr>
          <w:rFonts w:ascii="Times New Roman;Times;serif" w:hAnsi="Times New Roman;Times;serif"/>
          <w:color w:val="000000"/>
          <w:sz w:val="20"/>
        </w:rPr>
        <w:t>”) to Schedule TO amends and supplements the Tender Offer Statement on Schedule TO filed with the Securities and Exchange Commission on August 6, 2026 (together with any subsequent amendments and supplements thereto, the “</w:t>
      </w:r>
      <w:r>
        <w:rPr>
          <w:rFonts w:ascii="Times New Roman;Times;serif" w:hAnsi="Times New Roman;Times;serif"/>
          <w:b/>
          <w:color w:val="000000"/>
          <w:sz w:val="20"/>
        </w:rPr>
        <w:t>Schedule TO</w:t>
      </w:r>
      <w:r>
        <w:rPr>
          <w:rFonts w:ascii="Times New Roman;Times;serif" w:hAnsi="Times New Roman;Times;serif"/>
          <w:color w:val="000000"/>
          <w:sz w:val="20"/>
        </w:rPr>
        <w:t>”), by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a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The Schedule TO relates to the offer by Purchaser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for $77.00 per Share, net to the seller in cash, without interest, subject to any applicable withholding taxes, upon the terms and conditions set forth in the Offer to Purchase, dated August 6, 2026 (as it may be amended or supplemented from time to time, the “</w:t>
      </w:r>
      <w:r>
        <w:rPr>
          <w:rFonts w:ascii="Times New Roman;Times;serif" w:hAnsi="Times New Roman;Times;serif"/>
          <w:b/>
          <w:color w:val="000000"/>
          <w:sz w:val="20"/>
        </w:rPr>
        <w:t>Offer to Purchase</w:t>
      </w:r>
      <w:r>
        <w:rPr>
          <w:rFonts w:ascii="Times New Roman;Times;serif" w:hAnsi="Times New Roman;Times;serif"/>
          <w:color w:val="000000"/>
          <w:sz w:val="20"/>
        </w:rPr>
        <w:t>”) and in the related Letter of Transmittal (as it may be amended or supplemented from time to time, the “</w:t>
      </w:r>
      <w:r>
        <w:rPr>
          <w:rFonts w:ascii="Times New Roman;Times;serif" w:hAnsi="Times New Roman;Times;serif"/>
          <w:b/>
          <w:color w:val="000000"/>
          <w:sz w:val="20"/>
        </w:rPr>
        <w:t>Letter of Transmittal</w:t>
      </w:r>
      <w:r>
        <w:rPr>
          <w:rFonts w:ascii="Times New Roman;Times;serif" w:hAnsi="Times New Roman;Times;serif"/>
          <w:color w:val="000000"/>
          <w:sz w:val="20"/>
        </w:rPr>
        <w:t>” and, together with the Offer to Purchase, the “</w:t>
      </w:r>
      <w:r>
        <w:rPr>
          <w:rFonts w:ascii="Times New Roman;Times;serif" w:hAnsi="Times New Roman;Times;serif"/>
          <w:b/>
          <w:color w:val="000000"/>
          <w:sz w:val="20"/>
        </w:rPr>
        <w:t>Offer</w:t>
      </w:r>
      <w:r>
        <w:rPr>
          <w:rFonts w:ascii="Times New Roman;Times;serif" w:hAnsi="Times New Roman;Times;serif"/>
          <w:color w:val="000000"/>
          <w:sz w:val="20"/>
        </w:rPr>
        <w:t xml:space="preserve">”), copies of which are attached to the Schedule TO as Exhibits (a)(1)(i) and (a)(1)(ii),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the Offer to Purchase (including Schedule I to the Offer to Purchase) and the accompanying Letter of Transmittal is hereby expressly incorporated herein by reference in response to Items 1 through 9 and Item 11 of the Schedule TO and is supplemented by the information specifically provided in this Amendment. This Amendment should be read together with the Schedule TO. Capitalized terms used and not otherwise defined in this Amendment have the meanings given to such terms in the Offer to Purchase.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Items 1 through 9; Item 11.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disclosure in the Offer to Purchase and Items 1 through 9 and Item 11 of the Schedule TO, to the extent such Items incorporate by reference the information contained in the Offer to Purchase, is hereby amended and supplemented as follows:</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The Offer and related withdrawal rights expired as scheduled at one minute after 11:59 p.m., Eastern Time, on August 26, 2026 (such date and time, the “</w:t>
      </w:r>
      <w:r>
        <w:rPr>
          <w:rFonts w:ascii="Times New Roman;Times;serif" w:hAnsi="Times New Roman;Times;serif"/>
          <w:b/>
          <w:color w:val="000000"/>
          <w:sz w:val="20"/>
        </w:rPr>
        <w:t>Expiration Date</w:t>
      </w:r>
      <w:r>
        <w:rPr>
          <w:rFonts w:ascii="Times New Roman;Times;serif" w:hAnsi="Times New Roman;Times;serif"/>
          <w:color w:val="000000"/>
          <w:sz w:val="20"/>
        </w:rPr>
        <w:t xml:space="preserve">”), and the Offer was not extended. The Depositary has advised Purchaser that, as of the Expiration Date, 19,894,879 Shares had been validly tendered and not validly withdrawn pursuant to the Offer, representing, together with the shares owned by Parent and its affiliates, approximately 87.13% of the then issued and outstanding Shares. As of the Expiration Date, the number of Shares validly tendered and not validly withdrawn pursuant to the Offer satisfied the Minimum Condition.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 has accepted all Shares validly tendered and not validly withdrawn pursuant to the Offer, and payment of the applicable Offer Price for such Shares will be made promptly after the Expiration Date in accordance with the terms of the Offer and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expiration of the Offer and acceptance for payment of the Shares, Purchaser owned sufficient Shares to effect the Merger under Section 251(h) of the DGCL, without a vote of Forte’s stockholders. Accordingly, following completion of the Offer, Parent and Purchaser effected the Merger in accordance with Section 251(h) of the DGCL, in which Purchaser merged with and into Forte, with Forte surviving the Merger and continuing as a wholly owned subsidiary of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issued and outstanding (other than the Excluded Shares and Shares held by stockholders of record or held by beneficial owners who are entitled to appraisal rights under Section 262 of the DGCL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was converted by virtue of the Merger into the right to receive an amount in cash equal to the Offer Price, without any interest and subject to any applicable withholding of taxes. The Shares are expected to cease to trade on the Nasdaq Capital Market prior to the opening of business on August 27, 2026 and will be delisted from the Nasdaq Capital Market. Parent and Purchaser intend to take steps to cause the termination of the registration of the Shares under the Exchange Act and suspend all of Forte’s reporting obligations under the Exchange Act as promptly as practicable.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27, 2026, Parent issued a press release announcing the expiration of the Offer and the consummation of the Merger. The full text of the press release announcing the expiration of the Offer and the consummation of the Merger is attached as Exhibit (a)(5)(vi) to the Schedule TO and is incorporated herein by reference.”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i/>
          <w:color w:val="000000"/>
          <w:sz w:val="20"/>
        </w:rPr>
      </w:pPr>
      <w:bookmarkStart w:id="4" w:name="ny20080629x2_sctota_101-note_pg2"/>
      <w:bookmarkEnd w:id="4"/>
      <w:r>
        <w:rPr>
          <w:rFonts w:ascii="Times New Roman;Times;serif" w:hAnsi="Times New Roman;Times;serif"/>
          <w:b/>
          <w:i/>
          <w:color w:val="000000"/>
          <w:sz w:val="20"/>
        </w:rPr>
        <w:t>Item 12. Exhibits.</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Item 12 of the Schedule TO is hereby amended and supplemented by adding the following exhibit:</w:t>
      </w:r>
    </w:p>
    <w:tbl>
      <w:tblPr>
        <w:tblW w:w="5840" w:type="dxa"/>
        <w:jc w:val="left"/>
        <w:tblInd w:w="0" w:type="dxa"/>
        <w:tblLayout w:type="fixed"/>
        <w:tblCellMar>
          <w:top w:w="0" w:type="dxa"/>
          <w:left w:w="0" w:type="dxa"/>
          <w:bottom w:w="0" w:type="dxa"/>
          <w:right w:w="0" w:type="dxa"/>
        </w:tblCellMar>
      </w:tblPr>
      <w:tblGrid>
        <w:gridCol w:w="860"/>
        <w:gridCol w:w="140"/>
        <w:gridCol w:w="140"/>
        <w:gridCol w:w="4700"/>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0" w:type="dxa"/>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860" w:type="dxa"/>
            <w:tcBorders/>
            <w:vAlign w:val="center"/>
          </w:tcPr>
          <w:p>
            <w:pPr>
              <w:pStyle w:val="TableContents"/>
              <w:bidi w:val="0"/>
              <w:spacing w:before="0" w:after="283"/>
              <w:ind w:left="0" w:right="0" w:hanging="0"/>
              <w:jc w:val="left"/>
              <w:rPr/>
            </w:pPr>
            <w:hyperlink w:anchor="ny20080629x2_exa5vi.htm">
              <w:r>
                <w:rPr>
                  <w:rStyle w:val="InternetLink"/>
                  <w:rFonts w:ascii="Times New Roman;Times;serif" w:hAnsi="Times New Roman;Times;serif"/>
                  <w:color w:val="000000"/>
                  <w:sz w:val="20"/>
                </w:rPr>
                <w:t>(a)(5)(vi)*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Press release issued by argenx SE, dated August 27, 2026.</w:t>
            </w:r>
          </w:p>
        </w:tc>
      </w:tr>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0" w:type="dxa"/>
            <w:tcBorders/>
            <w:vAlign w:val="center"/>
          </w:tcPr>
          <w:p>
            <w:pPr>
              <w:pStyle w:val="TableContents"/>
              <w:bidi w:val="0"/>
              <w:spacing w:before="0" w:after="0"/>
              <w:jc w:val="left"/>
              <w:rPr/>
            </w:pPr>
            <w:r>
              <w:rPr/>
              <w:t>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5" w:name="ny20080629x2_sctota_102-sig_pg1"/>
      <w:bookmarkEnd w:id="5"/>
      <w:r>
        <w:rPr>
          <w:rFonts w:ascii="Times New Roman;Times;serif" w:hAnsi="Times New Roman;Times;serif"/>
          <w:b/>
          <w:color w:val="000000"/>
          <w:sz w:val="20"/>
        </w:rPr>
        <w:t xml:space="preserve">SIGNATURES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due inquiry and to the best knowledge and belief of the undersigned, each of the undersigned certifies that the information set forth in this statement is true, complete and correct. </w:t>
      </w:r>
    </w:p>
    <w:tbl>
      <w:tblPr>
        <w:tblW w:w="6425" w:type="dxa"/>
        <w:jc w:val="left"/>
        <w:tblInd w:w="0" w:type="dxa"/>
        <w:tblLayout w:type="fixed"/>
        <w:tblCellMar>
          <w:top w:w="0" w:type="dxa"/>
          <w:left w:w="0" w:type="dxa"/>
          <w:bottom w:w="0" w:type="dxa"/>
          <w:right w:w="0" w:type="dxa"/>
        </w:tblCellMar>
      </w:tblPr>
      <w:tblGrid>
        <w:gridCol w:w="1865"/>
        <w:gridCol w:w="140"/>
        <w:gridCol w:w="140"/>
        <w:gridCol w:w="320"/>
        <w:gridCol w:w="140"/>
        <w:gridCol w:w="140"/>
        <w:gridCol w:w="368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AVENA MERGER SUB INC.</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Hemamalini (Malini) Moorthy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Hemamalini (Malini) Moorthy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Vice President &amp; Secretary</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ARGENX BV</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Arjen Lemmen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Arjen Lemmen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VP Corporate Development &amp; Strategy</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ARGENX SE</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August 27,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Karen Massey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Karen Massey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jc w:val="left"/>
        <w:rPr/>
      </w:pPr>
      <w:r>
        <w:rPr/>
      </w:r>
      <w:bookmarkStart w:id="6" w:name="ny20080629x2_exa5vi.htm"/>
      <w:bookmarkStart w:id="7" w:name="ksny20080629x2_exa5vi"/>
      <w:bookmarkStart w:id="8" w:name="ny20080629x2_exa5vi.htm"/>
      <w:bookmarkStart w:id="9" w:name="ksny20080629x2_exa5vi"/>
      <w:bookmarkEnd w:id="8"/>
      <w:bookmarkEnd w:id="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(a)(5)(vi)</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argenx Completes Acquisition of Forte Biosciences, Inc.</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242424"/>
          <w:sz w:val="20"/>
        </w:rPr>
      </w:pPr>
      <w:r>
        <w:rPr>
          <w:rFonts w:ascii="Times New Roman;Times;serif" w:hAnsi="Times New Roman;Times;serif"/>
          <w:i/>
          <w:color w:val="242424"/>
          <w:sz w:val="20"/>
        </w:rPr>
        <w:t>Acquisition adds first-in-class anti-CD122 Antibody, FB102, to argenx’s immunology pipeline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August 27, 2026 – 8:50 AM 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Amsterdam, the Netherlands – argenx </w:t>
      </w:r>
      <w:r>
        <w:rPr>
          <w:rFonts w:ascii="Times New Roman;Times;serif" w:hAnsi="Times New Roman;Times;serif"/>
          <w:color w:val="000000"/>
          <w:sz w:val="20"/>
        </w:rPr>
        <w:t>(Euronext &amp; Nasdaq: ARGX), a global immunology innovation company today announced the successful completion of the acquisition of Forte Biosciences, Inc. (“</w:t>
      </w:r>
      <w:r>
        <w:rPr>
          <w:rFonts w:ascii="Times New Roman;Times;serif" w:hAnsi="Times New Roman;Times;serif"/>
          <w:color w:val="000000"/>
          <w:sz w:val="20"/>
          <w:u w:val="single"/>
        </w:rPr>
        <w:t>Forte</w:t>
      </w:r>
      <w:r>
        <w:rPr>
          <w:rFonts w:ascii="Times New Roman;Times;serif" w:hAnsi="Times New Roman;Times;serif"/>
          <w:color w:val="000000"/>
          <w:sz w:val="20"/>
        </w:rPr>
        <w:t>”) (Nasdaq: FBRX).</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acquisition expands argenx’s portfolio of differentiated immunology medicines, adding FB102, a first-in-class anti-CD122 antibody with clinical proof-of-concept in vitiligo and celiac disease and potential to address multiple autoimmune diseases. The acquisition reflects argenx’s disciplined approach to identifying and advancing breakthrough science for patients with the potential to redefine standards of care in diseases that have lacked meaningful innovation for decades.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Times;serif" w:hAnsi="Times New Roman;Times;serif"/>
          <w:color w:val="000000"/>
          <w:sz w:val="20"/>
        </w:rPr>
        <w:t>At argenx, we measure our progress through patient impact, and the Forte acquisition deepens that impact,” said Karen Massey, Chief Executive Officer of argenx. “As we advance toward Vision 2030, our ambition is to build a pipeline that extends our reach for patients across immunology. FB102 does exactly that with a potential first-in-class molecule targeting diseases with few treatment options today. This acquisition marks an important step in our long-term strategy to be the leading immunology innovation company.”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FB102 complements argenx’s existing portfolio of antibody-based programs, including efgartigimod, empasiprubart, adimanebart, and ARGX-121, as well as several additional early-stage molecules, by adding a mechanism focused on pathogenic T-cell and NK-cell activity, broadening the company’s ability to pursue diseases driven by different dimensions of the immune system.</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Transaction details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argenx completed the cash tender offer, through a subsidiary, for all the outstanding shares of common stock of Forte at a purchase price of $77.00 per share, without interest and subject to any applicable tax withholding. As of the tender offer expiration at one minute after 11:59 p.m., Eastern Time, on August 26, 2026, 19,894,879 shares of Forte common stock were validly tendered and not validly withdrawn, representing, together with the shares owned by argenx and its affiliates, approximately 87.13% of the total number of Forte’s issued and outstanding shares of common stock as of such date and time. All such shares have been accepted for payment in accordance with the terms of the tender offer, and argenx, on behalf of its subsidiary, will promptly pay for such shares.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Following the completion of the tender offer, argenx completed the acquisition of Forte through a merger of argenx’s wholly owned subsidiary with and into Forte, with Forte being the surviving corporation, in which all shares of Forte common stock issued and outstanding at the effective time of the merger were converted into the right to receive cash equal to the $77.00 offer price per share, without interest and subject to any applicable tax withholding. At the completion of the merger, Forte became a wholly owned subsidiary of argenx and Forte’s common stock will no longer be listed or traded on the Nasdaq Capital Market.</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About FB102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FB102 is a proprietary molecule with potentially broad autoimmune and autoimmune-related applications. In June 2025, Forte announced positive data from the FB102 celiac disease study. A Phase 2 celiac disease study has been initiated with data expected in the second half of 2026. Data from a vitiligo trial were reported in July 2026. A Phase 1b alopecia areata trial is ongoing with data expected in the second half of 2026.</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About argenx</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www.argenx.com  and follow us on LinkedIn, Instagram, Facebook, and YouTube.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About Forte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Forte Biosciences, Inc. is a clinical-stage biopharmaceutical company that is advancing FB102, which is a proprietary anti-CD122 monoclonal antibody therapeutic candidate with potentially broad autoimmune and autoimmune-related indications.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Contacts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Media:</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Ben Petok</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bpetok@argenx.com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Investors: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Alexandra Roy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aroy@argenx.com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Forward 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contents of this press release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and argenx, including, without limitation, results from clinical trials, regulatory applications and related timelines, the ability of argenx to advance Forte’s product pipeline; and any assumptions underlying any of the foregoing. argenx’s actual results may differ materially from those predicted by the forward-looking statements as a result of various important factors, including but not limited to,  the effect of the announcement on argenx’s business; the effect of the announcement on Forte’s business, its ability to retain and hire key personnel, its ability to maintain relationships with its suppliers and others with whom it does business, or its operating results and business generally; risks related to diverting management’s attention from argenx’s ongoing business operations;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further list and description of these and other risks, uncertainties, and factors that could cause actual results to differ materially from those referred to in the forward-looking statements can be found in argenx’s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2324</Words>
  <Characters>13156</Characters>
  <CharactersWithSpaces>15591</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