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79488x2_sctota_100-regcov_pg1"/>
      <w:bookmarkStart w:id="1" w:name="ny20079488x2_sctota.htm"/>
      <w:bookmarkStart w:id="2" w:name="ksny20079488x2_sctota"/>
      <w:bookmarkEnd w:id="0"/>
      <w:bookmarkEnd w:id="1"/>
      <w:bookmarkEnd w:id="2"/>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15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TO </w:t>
      </w:r>
    </w:p>
    <w:p>
      <w:pPr>
        <w:pStyle w:val="TextBody"/>
        <w:bidi w:val="0"/>
        <w:spacing w:before="8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TENDER OFFER STATEMENT UNDER SECTION 14(D)(1) OR 13(E)(1)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OF THE 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1 </w:t>
      </w:r>
    </w:p>
    <w:p>
      <w:pPr>
        <w:pStyle w:val="TextBody"/>
        <w:bidi w:val="0"/>
        <w:spacing w:before="15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FORTE BIOSCIENCES,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Subject Company (Issuer)) </w:t>
      </w:r>
    </w:p>
    <w:p>
      <w:pPr>
        <w:pStyle w:val="TextBody"/>
        <w:bidi w:val="0"/>
        <w:spacing w:before="15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AVENA MERGER SUB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Wholly Owned Subsidiary of </w:t>
      </w:r>
    </w:p>
    <w:p>
      <w:pPr>
        <w:pStyle w:val="TextBody"/>
        <w:bidi w:val="0"/>
        <w:spacing w:before="16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ARGENX BV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(Parent of 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Wholly Owned Subsidiary of </w:t>
      </w:r>
    </w:p>
    <w:p>
      <w:pPr>
        <w:pStyle w:val="TextBody"/>
        <w:bidi w:val="0"/>
        <w:spacing w:before="16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ARGENX SE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(Parent of 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(Names of Filing Persons (identifying status as offeror, issuer or other person))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par value $0.001 per share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(Title of Class of Securities) </w:t>
      </w:r>
    </w:p>
    <w:p>
      <w:pPr>
        <w:pStyle w:val="TextBody"/>
        <w:bidi w:val="0"/>
        <w:spacing w:before="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34962G208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(CUSIP Number of Class of Securities)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Hemamalini (Malini) Moorthy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argenx BV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Industriepark Zwijnaarde 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9052 Zwijnaarde (Ghent)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Belgium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+31(0)10 70 38 441 </w:t>
      </w:r>
    </w:p>
    <w:p>
      <w:pPr>
        <w:pStyle w:val="TextBody"/>
        <w:bidi w:val="0"/>
        <w:spacing w:before="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(Name, Address and Telephone Number of Person Authorized to Receive Notices and Communications on Behalf of Filing Persons) </w:t>
      </w:r>
    </w:p>
    <w:p>
      <w:pPr>
        <w:pStyle w:val="TextBody"/>
        <w:bidi w:val="0"/>
        <w:spacing w:before="120" w:after="283"/>
        <w:jc w:val="center"/>
        <w:rPr>
          <w:rFonts w:ascii="Times New Roman;Times;serif" w:hAnsi="Times New Roman;Times;serif"/>
          <w:b/>
          <w:i/>
          <w:color w:val="000000"/>
          <w:sz w:val="20"/>
        </w:rPr>
      </w:pPr>
      <w:r>
        <w:rPr>
          <w:rFonts w:ascii="Times New Roman;Times;serif" w:hAnsi="Times New Roman;Times;serif"/>
          <w:b/>
          <w:i/>
          <w:color w:val="000000"/>
          <w:sz w:val="20"/>
        </w:rPr>
        <w:t>Copies to:</w:t>
      </w:r>
      <w:r>
        <w:rPr>
          <w:rFonts w:ascii="Times New Roman;Times;serif" w:hAnsi="Times New Roman;Times;serif"/>
          <w:b/>
          <w:i/>
          <w:caps w:val="false"/>
          <w:smallCaps w:val="false"/>
          <w:color w:val="000000"/>
          <w:sz w:val="20"/>
        </w:rPr>
        <w:t xml:space="preserve"> </w:t>
      </w:r>
    </w:p>
    <w:p>
      <w:pPr>
        <w:pStyle w:val="TextBody"/>
        <w:bidi w:val="0"/>
        <w:spacing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Damien Zoubek, Esq.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Oliver J. Board, Esq.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Freshfields US LLP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3 World Trade Center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175 Greenwich Street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New York, NY 10007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(212) 277-4000</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color w:val="000000"/>
              </w:rPr>
            </w:pPr>
            <w:r>
              <w:rPr>
                <w:color w:val="000000"/>
              </w:rPr>
              <w:t> ☐</w:t>
            </w:r>
          </w:p>
        </w:tc>
        <w:tc>
          <w:tcPr>
            <w:tcW w:w="99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Check the box if the filing relates solely to preliminary communications made before the commencement of a tender offer. Check the appropriate boxes below to designate any transactions to which the statement relates: </w:t>
            </w:r>
          </w:p>
        </w:tc>
      </w:tr>
    </w:tbl>
    <w:tbl>
      <w:tblPr>
        <w:tblW w:w="4045" w:type="dxa"/>
        <w:jc w:val="left"/>
        <w:tblInd w:w="0" w:type="dxa"/>
        <w:tblLayout w:type="fixed"/>
        <w:tblCellMar>
          <w:top w:w="0" w:type="dxa"/>
          <w:left w:w="0" w:type="dxa"/>
          <w:bottom w:w="0" w:type="dxa"/>
          <w:right w:w="0" w:type="dxa"/>
        </w:tblCellMar>
      </w:tblPr>
      <w:tblGrid>
        <w:gridCol w:w="230"/>
        <w:gridCol w:w="3815"/>
      </w:tblGrid>
      <w:tr>
        <w:trPr/>
        <w:tc>
          <w:tcPr>
            <w:tcW w:w="23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Third-party tender offer subject to Rule 14d-1. </w:t>
            </w:r>
          </w:p>
        </w:tc>
      </w:tr>
    </w:tbl>
    <w:tbl>
      <w:tblPr>
        <w:tblW w:w="3610" w:type="dxa"/>
        <w:jc w:val="left"/>
        <w:tblInd w:w="0" w:type="dxa"/>
        <w:tblLayout w:type="fixed"/>
        <w:tblCellMar>
          <w:top w:w="0" w:type="dxa"/>
          <w:left w:w="0" w:type="dxa"/>
          <w:bottom w:w="0" w:type="dxa"/>
          <w:right w:w="0" w:type="dxa"/>
        </w:tblCellMar>
      </w:tblPr>
      <w:tblGrid>
        <w:gridCol w:w="275"/>
        <w:gridCol w:w="3335"/>
      </w:tblGrid>
      <w:tr>
        <w:trPr/>
        <w:tc>
          <w:tcPr>
            <w:tcW w:w="275" w:type="dxa"/>
            <w:tcBorders/>
            <w:vAlign w:val="center"/>
          </w:tcPr>
          <w:p>
            <w:pPr>
              <w:pStyle w:val="TableContents"/>
              <w:bidi w:val="0"/>
              <w:spacing w:before="0" w:after="0"/>
              <w:jc w:val="left"/>
              <w:rPr>
                <w:color w:val="000000"/>
              </w:rPr>
            </w:pPr>
            <w:r>
              <w:rPr>
                <w:color w:val="000000"/>
              </w:rPr>
              <w:t> ☐</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Issuer tender offer subject to Rule 13e-4. </w:t>
            </w:r>
          </w:p>
        </w:tc>
      </w:tr>
    </w:tbl>
    <w:tbl>
      <w:tblPr>
        <w:tblW w:w="4255" w:type="dxa"/>
        <w:jc w:val="left"/>
        <w:tblInd w:w="0" w:type="dxa"/>
        <w:tblLayout w:type="fixed"/>
        <w:tblCellMar>
          <w:top w:w="0" w:type="dxa"/>
          <w:left w:w="0" w:type="dxa"/>
          <w:bottom w:w="0" w:type="dxa"/>
          <w:right w:w="0" w:type="dxa"/>
        </w:tblCellMar>
      </w:tblPr>
      <w:tblGrid>
        <w:gridCol w:w="275"/>
        <w:gridCol w:w="3980"/>
      </w:tblGrid>
      <w:tr>
        <w:trPr/>
        <w:tc>
          <w:tcPr>
            <w:tcW w:w="275" w:type="dxa"/>
            <w:tcBorders/>
            <w:vAlign w:val="center"/>
          </w:tcPr>
          <w:p>
            <w:pPr>
              <w:pStyle w:val="TableContents"/>
              <w:bidi w:val="0"/>
              <w:spacing w:before="0" w:after="0"/>
              <w:jc w:val="left"/>
              <w:rPr>
                <w:color w:val="000000"/>
              </w:rPr>
            </w:pPr>
            <w:r>
              <w:rPr>
                <w:color w:val="000000"/>
              </w:rPr>
              <w:t> ☐</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Going-private transaction subject to Rule 13e-3. </w:t>
            </w:r>
          </w:p>
        </w:tc>
      </w:tr>
    </w:tbl>
    <w:tbl>
      <w:tblPr>
        <w:tblW w:w="4240" w:type="dxa"/>
        <w:jc w:val="left"/>
        <w:tblInd w:w="0" w:type="dxa"/>
        <w:tblLayout w:type="fixed"/>
        <w:tblCellMar>
          <w:top w:w="0" w:type="dxa"/>
          <w:left w:w="0" w:type="dxa"/>
          <w:bottom w:w="0" w:type="dxa"/>
          <w:right w:w="0" w:type="dxa"/>
        </w:tblCellMar>
      </w:tblPr>
      <w:tblGrid>
        <w:gridCol w:w="275"/>
        <w:gridCol w:w="3965"/>
      </w:tblGrid>
      <w:tr>
        <w:trPr/>
        <w:tc>
          <w:tcPr>
            <w:tcW w:w="275" w:type="dxa"/>
            <w:tcBorders/>
            <w:vAlign w:val="center"/>
          </w:tcPr>
          <w:p>
            <w:pPr>
              <w:pStyle w:val="TableContents"/>
              <w:bidi w:val="0"/>
              <w:spacing w:before="0" w:after="0"/>
              <w:jc w:val="left"/>
              <w:rPr>
                <w:color w:val="000000"/>
              </w:rPr>
            </w:pPr>
            <w:r>
              <w:rPr>
                <w:color w:val="000000"/>
              </w:rPr>
              <w:t> ☐</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Amendment to Schedule 13D under Rule 13d-2.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following box if the filing is a final amendment reporting the results of the tender offer:  ☐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applicable, check the appropriate box(es) below to designate the appropriate rule provision(s) relied upon: </w:t>
      </w:r>
    </w:p>
    <w:tbl>
      <w:tblPr>
        <w:tblW w:w="4225" w:type="dxa"/>
        <w:jc w:val="left"/>
        <w:tblInd w:w="0" w:type="dxa"/>
        <w:tblLayout w:type="fixed"/>
        <w:tblCellMar>
          <w:top w:w="0" w:type="dxa"/>
          <w:left w:w="0" w:type="dxa"/>
          <w:bottom w:w="0" w:type="dxa"/>
          <w:right w:w="0" w:type="dxa"/>
        </w:tblCellMar>
      </w:tblPr>
      <w:tblGrid>
        <w:gridCol w:w="275"/>
        <w:gridCol w:w="3950"/>
      </w:tblGrid>
      <w:tr>
        <w:trPr/>
        <w:tc>
          <w:tcPr>
            <w:tcW w:w="27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13e-4(i) (Cross-Border Issuer Tender Offer) </w:t>
            </w:r>
          </w:p>
        </w:tc>
      </w:tr>
    </w:tbl>
    <w:tbl>
      <w:tblPr>
        <w:tblW w:w="4750" w:type="dxa"/>
        <w:jc w:val="left"/>
        <w:tblInd w:w="0" w:type="dxa"/>
        <w:tblLayout w:type="fixed"/>
        <w:tblCellMar>
          <w:top w:w="0" w:type="dxa"/>
          <w:left w:w="0" w:type="dxa"/>
          <w:bottom w:w="0" w:type="dxa"/>
          <w:right w:w="0" w:type="dxa"/>
        </w:tblCellMar>
      </w:tblPr>
      <w:tblGrid>
        <w:gridCol w:w="275"/>
        <w:gridCol w:w="4475"/>
      </w:tblGrid>
      <w:tr>
        <w:trPr/>
        <w:tc>
          <w:tcPr>
            <w:tcW w:w="275" w:type="dxa"/>
            <w:tcBorders/>
            <w:vAlign w:val="center"/>
          </w:tcPr>
          <w:p>
            <w:pPr>
              <w:pStyle w:val="TableContents"/>
              <w:bidi w:val="0"/>
              <w:spacing w:before="0" w:after="0"/>
              <w:jc w:val="left"/>
              <w:rPr>
                <w:color w:val="000000"/>
              </w:rPr>
            </w:pPr>
            <w:r>
              <w:rPr>
                <w:color w:val="000000"/>
              </w:rPr>
              <w:t> ☐</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14d-1(d) (Cross-Border Third-Party Tender Offer)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3" w:name="ny20079488x2_sctota_101-items_pg1"/>
      <w:bookmarkEnd w:id="3"/>
      <w:r>
        <w:rPr>
          <w:rFonts w:ascii="Times New Roman;Times;serif" w:hAnsi="Times New Roman;Times;serif"/>
          <w:color w:val="000000"/>
          <w:sz w:val="20"/>
        </w:rPr>
        <w:t>This Amendment No. 1 (this “</w:t>
      </w:r>
      <w:r>
        <w:rPr>
          <w:rFonts w:ascii="Times New Roman;Times;serif" w:hAnsi="Times New Roman;Times;serif"/>
          <w:b/>
          <w:color w:val="000000"/>
          <w:sz w:val="20"/>
        </w:rPr>
        <w:t>Amendment</w:t>
      </w:r>
      <w:r>
        <w:rPr>
          <w:rFonts w:ascii="Times New Roman;Times;serif" w:hAnsi="Times New Roman;Times;serif"/>
          <w:color w:val="000000"/>
          <w:sz w:val="20"/>
        </w:rPr>
        <w:t>”) to Schedule TO amends and supplements the Tender Offer Statement on Schedule TO filed with the Securities and Exchange Commission on August 6, 2026 (together with any subsequent amendments and supplements thereto, the “</w:t>
      </w:r>
      <w:r>
        <w:rPr>
          <w:rFonts w:ascii="Times New Roman;Times;serif" w:hAnsi="Times New Roman;Times;serif"/>
          <w:b/>
          <w:color w:val="000000"/>
          <w:sz w:val="20"/>
        </w:rPr>
        <w:t>Schedule TO</w:t>
      </w:r>
      <w:r>
        <w:rPr>
          <w:rFonts w:ascii="Times New Roman;Times;serif" w:hAnsi="Times New Roman;Times;serif"/>
          <w:color w:val="000000"/>
          <w:sz w:val="20"/>
        </w:rPr>
        <w:t>”), by Avena Merger Sub Inc., a Delaware corporation (“</w:t>
      </w:r>
      <w:r>
        <w:rPr>
          <w:rFonts w:ascii="Times New Roman;Times;serif" w:hAnsi="Times New Roman;Times;serif"/>
          <w:b/>
          <w:color w:val="000000"/>
          <w:sz w:val="20"/>
        </w:rPr>
        <w:t>Purchaser</w:t>
      </w:r>
      <w:r>
        <w:rPr>
          <w:rFonts w:ascii="Times New Roman;Times;serif" w:hAnsi="Times New Roman;Times;serif"/>
          <w:color w:val="000000"/>
          <w:sz w:val="20"/>
        </w:rPr>
        <w:t>”), and wholly owned subsidiary of argenx BV, a private company with limited liability (</w:t>
      </w:r>
      <w:r>
        <w:rPr>
          <w:rFonts w:ascii="Times New Roman;Times;serif" w:hAnsi="Times New Roman;Times;serif"/>
          <w:i/>
          <w:color w:val="000000"/>
          <w:sz w:val="20"/>
        </w:rPr>
        <w:t>besloten vennootschap</w:t>
      </w:r>
      <w:r>
        <w:rPr>
          <w:rFonts w:ascii="Times New Roman;Times;serif" w:hAnsi="Times New Roman;Times;serif"/>
          <w:color w:val="000000"/>
          <w:sz w:val="20"/>
        </w:rPr>
        <w:t>) organized under Belgian law (“</w:t>
      </w:r>
      <w:r>
        <w:rPr>
          <w:rFonts w:ascii="Times New Roman;Times;serif" w:hAnsi="Times New Roman;Times;serif"/>
          <w:b/>
          <w:color w:val="000000"/>
          <w:sz w:val="20"/>
        </w:rPr>
        <w:t>Parent</w:t>
      </w:r>
      <w:r>
        <w:rPr>
          <w:rFonts w:ascii="Times New Roman;Times;serif" w:hAnsi="Times New Roman;Times;serif"/>
          <w:color w:val="000000"/>
          <w:sz w:val="20"/>
        </w:rPr>
        <w:t>”). The Schedule TO relates to the offer by Purchaser to acquire all of the outstanding shares of common stock, par value $0.001 per share (the “</w:t>
      </w:r>
      <w:r>
        <w:rPr>
          <w:rFonts w:ascii="Times New Roman;Times;serif" w:hAnsi="Times New Roman;Times;serif"/>
          <w:b/>
          <w:color w:val="000000"/>
          <w:sz w:val="20"/>
        </w:rPr>
        <w:t>Shares</w:t>
      </w:r>
      <w:r>
        <w:rPr>
          <w:rFonts w:ascii="Times New Roman;Times;serif" w:hAnsi="Times New Roman;Times;serif"/>
          <w:color w:val="000000"/>
          <w:sz w:val="20"/>
        </w:rPr>
        <w:t>”), of Forte Biosciences, Inc., a Delaware corporation (“</w:t>
      </w:r>
      <w:r>
        <w:rPr>
          <w:rFonts w:ascii="Times New Roman;Times;serif" w:hAnsi="Times New Roman;Times;serif"/>
          <w:b/>
          <w:color w:val="000000"/>
          <w:sz w:val="20"/>
        </w:rPr>
        <w:t>Forte</w:t>
      </w:r>
      <w:r>
        <w:rPr>
          <w:rFonts w:ascii="Times New Roman;Times;serif" w:hAnsi="Times New Roman;Times;serif"/>
          <w:color w:val="000000"/>
          <w:sz w:val="20"/>
        </w:rPr>
        <w:t>”), for $77.00 per Share, net to the seller in cash, without interest, subject to any applicable withholding taxes, upon the terms and conditions set forth in the Offer to Purchase, dated August 6, 2026 (as it may be amended or supplemented from time to time, the “</w:t>
      </w:r>
      <w:r>
        <w:rPr>
          <w:rFonts w:ascii="Times New Roman;Times;serif" w:hAnsi="Times New Roman;Times;serif"/>
          <w:b/>
          <w:color w:val="000000"/>
          <w:sz w:val="20"/>
        </w:rPr>
        <w:t>Offer to Purchase</w:t>
      </w:r>
      <w:r>
        <w:rPr>
          <w:rFonts w:ascii="Times New Roman;Times;serif" w:hAnsi="Times New Roman;Times;serif"/>
          <w:color w:val="000000"/>
          <w:sz w:val="20"/>
        </w:rPr>
        <w:t>”) and in the related Letter of Transmittal (as it may be amended or supplemented from time to time, the “</w:t>
      </w:r>
      <w:r>
        <w:rPr>
          <w:rFonts w:ascii="Times New Roman;Times;serif" w:hAnsi="Times New Roman;Times;serif"/>
          <w:b/>
          <w:color w:val="000000"/>
          <w:sz w:val="20"/>
        </w:rPr>
        <w:t>Letter of Transmittal</w:t>
      </w:r>
      <w:r>
        <w:rPr>
          <w:rFonts w:ascii="Times New Roman;Times;serif" w:hAnsi="Times New Roman;Times;serif"/>
          <w:color w:val="000000"/>
          <w:sz w:val="20"/>
        </w:rPr>
        <w:t>” and, together with the Offer to Purchase, the “</w:t>
      </w:r>
      <w:r>
        <w:rPr>
          <w:rFonts w:ascii="Times New Roman;Times;serif" w:hAnsi="Times New Roman;Times;serif"/>
          <w:b/>
          <w:color w:val="000000"/>
          <w:sz w:val="20"/>
        </w:rPr>
        <w:t>Offer</w:t>
      </w:r>
      <w:r>
        <w:rPr>
          <w:rFonts w:ascii="Times New Roman;Times;serif" w:hAnsi="Times New Roman;Times;serif"/>
          <w:color w:val="000000"/>
          <w:sz w:val="20"/>
        </w:rPr>
        <w:t xml:space="preserve">”), copies of which are attached to the Schedule TO as Exhibits (a)(1)(i) and (a)(1)(ii), respectively.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contained in the Offer to Purchase (including Schedule I to the Offer to Purchase) and the accompanying Letter of Transmittal is hereby expressly incorporated herein by reference in response to Items 1 through 9 and Item 11 of the Schedule TO and is supplemented by the information specifically provided in this Amendment. This Amendment should be read together with the Schedule TO. Capitalized terms used and not otherwise defined in this Amendment have the meanings given to such terms in the Offer to Purchase.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Item 1 through 9; Item 11.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Offer to Purchase and Items 1 through 9 and Item 11 of the Schedule TO, to the extent such Items incorporate by reference the information contained in the Offer to Purchase, are hereby amended and supplemented as follows: </w:t>
      </w:r>
    </w:p>
    <w:p>
      <w:pPr>
        <w:pStyle w:val="TextBody"/>
        <w:bidi w:val="0"/>
        <w:spacing w:before="120" w:after="283"/>
        <w:ind w:left="0" w:right="0" w:hanging="0"/>
        <w:jc w:val="left"/>
        <w:rPr>
          <w:color w:val="000000"/>
        </w:rPr>
      </w:pPr>
      <w:r>
        <w:rPr>
          <w:color w:val="000000"/>
        </w:rPr>
        <w:t>“</w:t>
      </w:r>
      <w:r>
        <w:rPr>
          <w:rFonts w:ascii="Times New Roman;Times;serif" w:hAnsi="Times New Roman;Times;serif"/>
          <w:color w:val="000000"/>
          <w:sz w:val="20"/>
        </w:rPr>
        <w:t xml:space="preserve">On August 6, 2026, Parent issued a press release announcing the commencement of the Offer. The full text of the press release is filed as Exhibit (a)(5)(v) to the Schedule TO and is incorporated herein by reference.” </w:t>
      </w:r>
    </w:p>
    <w:tbl>
      <w:tblPr>
        <w:tblW w:w="1525" w:type="dxa"/>
        <w:jc w:val="left"/>
        <w:tblInd w:w="0" w:type="dxa"/>
        <w:tblLayout w:type="fixed"/>
        <w:tblCellMar>
          <w:top w:w="0" w:type="dxa"/>
          <w:left w:w="0" w:type="dxa"/>
          <w:bottom w:w="0" w:type="dxa"/>
          <w:right w:w="0" w:type="dxa"/>
        </w:tblCellMar>
      </w:tblPr>
      <w:tblGrid>
        <w:gridCol w:w="710"/>
        <w:gridCol w:w="81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12.</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i/>
                <w:color w:val="000000"/>
                <w:sz w:val="20"/>
              </w:rPr>
              <w:t>Exhibits.</w:t>
            </w:r>
            <w:r>
              <w:rPr>
                <w:rFonts w:ascii="Times New Roman;Times;serif" w:hAnsi="Times New Roman;Times;serif"/>
                <w:b/>
                <w:color w:val="000000"/>
                <w:sz w:val="20"/>
              </w:rPr>
              <w:t xml:space="preserve">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Item 12 of the Schedule TO is hereby amended and supplemented by adding the following exhibit: </w:t>
      </w:r>
    </w:p>
    <w:tbl>
      <w:tblPr>
        <w:tblW w:w="5735" w:type="dxa"/>
        <w:jc w:val="left"/>
        <w:tblInd w:w="0" w:type="dxa"/>
        <w:tblLayout w:type="fixed"/>
        <w:tblCellMar>
          <w:top w:w="0" w:type="dxa"/>
          <w:left w:w="0" w:type="dxa"/>
          <w:bottom w:w="0" w:type="dxa"/>
          <w:right w:w="0" w:type="dxa"/>
        </w:tblCellMar>
      </w:tblPr>
      <w:tblGrid>
        <w:gridCol w:w="860"/>
        <w:gridCol w:w="140"/>
        <w:gridCol w:w="140"/>
        <w:gridCol w:w="4595"/>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95" w:type="dxa"/>
            <w:tcBorders/>
            <w:vAlign w:val="center"/>
          </w:tcPr>
          <w:p>
            <w:pPr>
              <w:pStyle w:val="TableContents"/>
              <w:bidi w:val="0"/>
              <w:spacing w:before="0" w:after="0"/>
              <w:jc w:val="left"/>
              <w:rPr/>
            </w:pPr>
            <w:r>
              <w:rPr/>
              <w:t> </w:t>
            </w:r>
          </w:p>
        </w:tc>
      </w:tr>
      <w:tr>
        <w:trPr/>
        <w:tc>
          <w:tcPr>
            <w:tcW w:w="8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860" w:type="dxa"/>
            <w:tcBorders/>
            <w:vAlign w:val="center"/>
          </w:tcPr>
          <w:p>
            <w:pPr>
              <w:pStyle w:val="TableContents"/>
              <w:bidi w:val="0"/>
              <w:spacing w:before="0" w:after="283"/>
              <w:ind w:left="0" w:right="0" w:hanging="0"/>
              <w:jc w:val="left"/>
              <w:rPr/>
            </w:pPr>
            <w:hyperlink w:anchor="ny20079488x2_exa5v.htm">
              <w:r>
                <w:rPr>
                  <w:rStyle w:val="InternetLink"/>
                  <w:rFonts w:ascii="Times New Roman;Times;serif" w:hAnsi="Times New Roman;Times;serif"/>
                  <w:color w:val="000000"/>
                  <w:sz w:val="20"/>
                </w:rPr>
                <w:t>(a)(5)(v)*</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Press release issued by argenx SE, dated August 6, 2026.</w:t>
            </w:r>
          </w:p>
        </w:tc>
      </w:tr>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95" w:type="dxa"/>
            <w:tcBorders/>
            <w:vAlign w:val="center"/>
          </w:tcPr>
          <w:p>
            <w:pPr>
              <w:pStyle w:val="TableContents"/>
              <w:bidi w:val="0"/>
              <w:spacing w:before="0" w:after="0"/>
              <w:jc w:val="left"/>
              <w:rPr/>
            </w:pPr>
            <w:r>
              <w:rPr/>
              <w:t>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Filed herewith</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4" w:name="ny20079488x2_sctota_200-sig_pg1"/>
      <w:bookmarkEnd w:id="4"/>
      <w:r>
        <w:rPr>
          <w:rFonts w:ascii="Times New Roman;Times;serif" w:hAnsi="Times New Roman;Times;serif"/>
          <w:b/>
          <w:color w:val="000000"/>
          <w:sz w:val="20"/>
        </w:rPr>
        <w:t xml:space="preserve">SIGNATURES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due inquiry and to the best knowledge and belief of the undersigned, each of the undersigned certifies that the information set forth in this statement is true, complete and correct.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August 6, 2026 </w:t>
      </w:r>
    </w:p>
    <w:tbl>
      <w:tblPr>
        <w:tblW w:w="4010" w:type="dxa"/>
        <w:jc w:val="left"/>
        <w:tblInd w:w="0" w:type="dxa"/>
        <w:tblLayout w:type="fixed"/>
        <w:tblCellMar>
          <w:top w:w="0" w:type="dxa"/>
          <w:left w:w="0" w:type="dxa"/>
          <w:bottom w:w="0" w:type="dxa"/>
          <w:right w:w="0" w:type="dxa"/>
        </w:tblCellMar>
      </w:tblPr>
      <w:tblGrid>
        <w:gridCol w:w="560"/>
        <w:gridCol w:w="140"/>
        <w:gridCol w:w="140"/>
        <w:gridCol w:w="2735"/>
        <w:gridCol w:w="140"/>
        <w:gridCol w:w="140"/>
        <w:gridCol w:w="155"/>
      </w:tblGrid>
      <w:tr>
        <w:trPr/>
        <w:tc>
          <w:tcPr>
            <w:tcW w:w="357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5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AVENA MERGER SUB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Hemamalini (Malini) Moorthy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Hemamalini (Malini) Moorthy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&amp;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4445" w:type="dxa"/>
        <w:jc w:val="left"/>
        <w:tblInd w:w="0" w:type="dxa"/>
        <w:tblLayout w:type="fixed"/>
        <w:tblCellMar>
          <w:top w:w="0" w:type="dxa"/>
          <w:left w:w="0" w:type="dxa"/>
          <w:bottom w:w="0" w:type="dxa"/>
          <w:right w:w="0" w:type="dxa"/>
        </w:tblCellMar>
      </w:tblPr>
      <w:tblGrid>
        <w:gridCol w:w="560"/>
        <w:gridCol w:w="140"/>
        <w:gridCol w:w="140"/>
        <w:gridCol w:w="3170"/>
        <w:gridCol w:w="140"/>
        <w:gridCol w:w="140"/>
        <w:gridCol w:w="155"/>
      </w:tblGrid>
      <w:tr>
        <w:trPr/>
        <w:tc>
          <w:tcPr>
            <w:tcW w:w="401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401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ARGENX BV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Arjen Lemmen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Arjen Lemmen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VP Corporate Development &amp; Strategy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3215" w:type="dxa"/>
        <w:jc w:val="left"/>
        <w:tblInd w:w="0" w:type="dxa"/>
        <w:tblLayout w:type="fixed"/>
        <w:tblCellMar>
          <w:top w:w="0" w:type="dxa"/>
          <w:left w:w="0" w:type="dxa"/>
          <w:bottom w:w="0" w:type="dxa"/>
          <w:right w:w="0" w:type="dxa"/>
        </w:tblCellMar>
      </w:tblPr>
      <w:tblGrid>
        <w:gridCol w:w="560"/>
        <w:gridCol w:w="140"/>
        <w:gridCol w:w="140"/>
        <w:gridCol w:w="1940"/>
        <w:gridCol w:w="140"/>
        <w:gridCol w:w="140"/>
        <w:gridCol w:w="155"/>
      </w:tblGrid>
      <w:tr>
        <w:trPr/>
        <w:tc>
          <w:tcPr>
            <w:tcW w:w="27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7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ARGENX 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Karen Massey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Karen Massey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jc w:val="right"/>
        <w:rPr/>
      </w:pPr>
      <w:r>
        <w:rPr/>
      </w:r>
      <w:bookmarkStart w:id="5" w:name="ny20079488x2_exa5v.htm"/>
      <w:bookmarkStart w:id="6" w:name="ksny20079488x2_exa5v"/>
      <w:bookmarkStart w:id="7" w:name="ny20079488x2_exa5v.htm"/>
      <w:bookmarkStart w:id="8" w:name="ksny20079488x2_exa5v"/>
      <w:bookmarkEnd w:id="7"/>
      <w:bookmarkEnd w:id="8"/>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(a)(5)(v)</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argenx Announces Commencement of Tender Offer to Acquire Forte Biosciences, Inc.</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August 6, 2026 – 7:45 AM ET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Amsterdam, the Netherlands – argenx </w:t>
      </w:r>
      <w:r>
        <w:rPr>
          <w:rFonts w:ascii="Times New Roman;Times;serif" w:hAnsi="Times New Roman;Times;serif"/>
          <w:color w:val="000000"/>
          <w:sz w:val="20"/>
        </w:rPr>
        <w:t>(Euronext &amp; Nasdaq: ARGX), a global immunology innovation company today announced that Avena Merger Sub Inc. (“</w:t>
      </w:r>
      <w:r>
        <w:rPr>
          <w:rFonts w:ascii="Times New Roman;Times;serif" w:hAnsi="Times New Roman;Times;serif"/>
          <w:color w:val="000000"/>
          <w:sz w:val="20"/>
          <w:u w:val="single"/>
        </w:rPr>
        <w:t>Purchaser</w:t>
      </w:r>
      <w:r>
        <w:rPr>
          <w:rFonts w:ascii="Times New Roman;Times;serif" w:hAnsi="Times New Roman;Times;serif"/>
          <w:color w:val="000000"/>
          <w:sz w:val="20"/>
        </w:rPr>
        <w:t>”), a wholly-owned subsidiary of argenx BV (“</w:t>
      </w:r>
      <w:r>
        <w:rPr>
          <w:rFonts w:ascii="Times New Roman;Times;serif" w:hAnsi="Times New Roman;Times;serif"/>
          <w:color w:val="000000"/>
          <w:sz w:val="20"/>
          <w:u w:val="single"/>
        </w:rPr>
        <w:t>argenx</w:t>
      </w:r>
      <w:r>
        <w:rPr>
          <w:rFonts w:ascii="Times New Roman;Times;serif" w:hAnsi="Times New Roman;Times;serif"/>
          <w:color w:val="000000"/>
          <w:sz w:val="20"/>
        </w:rPr>
        <w:t>”), has commenced a tender offer to purchase all of the issued and outstanding shares of Common Stock, par value $0.001 per share (the “</w:t>
      </w:r>
      <w:r>
        <w:rPr>
          <w:rFonts w:ascii="Times New Roman;Times;serif" w:hAnsi="Times New Roman;Times;serif"/>
          <w:color w:val="000000"/>
          <w:sz w:val="20"/>
          <w:u w:val="single"/>
        </w:rPr>
        <w:t>Shares</w:t>
      </w:r>
      <w:r>
        <w:rPr>
          <w:rFonts w:ascii="Times New Roman;Times;serif" w:hAnsi="Times New Roman;Times;serif"/>
          <w:color w:val="000000"/>
          <w:sz w:val="20"/>
        </w:rPr>
        <w:t>”), of Forte Biosciences, Inc. (“</w:t>
      </w:r>
      <w:r>
        <w:rPr>
          <w:rFonts w:ascii="Times New Roman;Times;serif" w:hAnsi="Times New Roman;Times;serif"/>
          <w:color w:val="000000"/>
          <w:sz w:val="20"/>
          <w:u w:val="single"/>
        </w:rPr>
        <w:t>Forte</w:t>
      </w:r>
      <w:r>
        <w:rPr>
          <w:rFonts w:ascii="Times New Roman;Times;serif" w:hAnsi="Times New Roman;Times;serif"/>
          <w:color w:val="000000"/>
          <w:sz w:val="20"/>
        </w:rPr>
        <w:t>”) (Nasdaq: FBRX), for $77.00 per Share, net to the seller in cash, without interest, subject to any applicable withholding taxes, and upon the terms and subject to the conditions set forth in the Offer to Purchase, dated August 6, 2026, and the accompanying Letter of Transmittal (together, and with other related materials, as they may be amended or supplemented from time to time, the “</w:t>
      </w:r>
      <w:r>
        <w:rPr>
          <w:rFonts w:ascii="Times New Roman;Times;serif" w:hAnsi="Times New Roman;Times;serif"/>
          <w:color w:val="000000"/>
          <w:sz w:val="20"/>
          <w:u w:val="single"/>
        </w:rPr>
        <w:t>Offer</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Offer is being made pursuant to an Agreement and Plan of Merger, dated as of July 26, 2026, by and among Forte, argenx and Purchaser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As soon as practicable following the acceptance of the Shares for payment (but in any event no later than the first business day following the expiration of the Offer) and subject to the satisfaction or waiver of certain conditions, Purchaser will merge with and into Forte (the “</w:t>
      </w:r>
      <w:r>
        <w:rPr>
          <w:rFonts w:ascii="Times New Roman;Times;serif" w:hAnsi="Times New Roman;Times;serif"/>
          <w:color w:val="000000"/>
          <w:sz w:val="20"/>
          <w:u w:val="single"/>
        </w:rPr>
        <w:t>Merger</w:t>
      </w:r>
      <w:r>
        <w:rPr>
          <w:rFonts w:ascii="Times New Roman;Times;serif" w:hAnsi="Times New Roman;Times;serif"/>
          <w:color w:val="000000"/>
          <w:sz w:val="20"/>
        </w:rPr>
        <w:t>”) and the separate existence of Purchaser will cease and Forte will continue as the surviving corporation and as a wholly-owned subsidiary of argenx. By virtue of the Merger, each Share outstanding immediately prior to the effective time of the Merger (subject to certain exceptions set forth in the Merger Agreement) will be converted into the right to receive $77.00 per Share, net to the seller in cash, without interest, subject to any applicable withholding taxes. The Merger will be governed by Section 251(h) of the General Corporation Law of the State of Delaware, as amended (the “</w:t>
      </w:r>
      <w:r>
        <w:rPr>
          <w:rFonts w:ascii="Times New Roman;Times;serif" w:hAnsi="Times New Roman;Times;serif"/>
          <w:color w:val="000000"/>
          <w:sz w:val="20"/>
          <w:u w:val="single"/>
        </w:rPr>
        <w:t>DGCL</w:t>
      </w:r>
      <w:r>
        <w:rPr>
          <w:rFonts w:ascii="Times New Roman;Times;serif" w:hAnsi="Times New Roman;Times;serif"/>
          <w:color w:val="000000"/>
          <w:sz w:val="20"/>
        </w:rPr>
        <w:t>”), which does not require a vote of Forte’s stockholders.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Forte’s Board of Directors (the “</w:t>
      </w:r>
      <w:r>
        <w:rPr>
          <w:rFonts w:ascii="Times New Roman;Times;serif" w:hAnsi="Times New Roman;Times;serif"/>
          <w:color w:val="000000"/>
          <w:sz w:val="20"/>
          <w:u w:val="single"/>
        </w:rPr>
        <w:t>Forte Board</w:t>
      </w:r>
      <w:r>
        <w:rPr>
          <w:rFonts w:ascii="Times New Roman;Times;serif" w:hAnsi="Times New Roman;Times;serif"/>
          <w:color w:val="000000"/>
          <w:sz w:val="20"/>
        </w:rPr>
        <w:t>”) has published a Solicitation/Recommendation Statement on Schedule 14D-9 (the “</w:t>
      </w:r>
      <w:r>
        <w:rPr>
          <w:rFonts w:ascii="Times New Roman;Times;serif" w:hAnsi="Times New Roman;Times;serif"/>
          <w:color w:val="000000"/>
          <w:sz w:val="20"/>
          <w:u w:val="single"/>
        </w:rPr>
        <w:t>Schedule 14D-9</w:t>
      </w:r>
      <w:r>
        <w:rPr>
          <w:rFonts w:ascii="Times New Roman;Times;serif" w:hAnsi="Times New Roman;Times;serif"/>
          <w:color w:val="000000"/>
          <w:sz w:val="20"/>
        </w:rPr>
        <w:t>”) filed with the Securities and Exchange Commission (the “</w:t>
      </w:r>
      <w:r>
        <w:rPr>
          <w:rFonts w:ascii="Times New Roman;Times;serif" w:hAnsi="Times New Roman;Times;serif"/>
          <w:color w:val="000000"/>
          <w:sz w:val="20"/>
          <w:u w:val="single"/>
        </w:rPr>
        <w:t>SEC</w:t>
      </w:r>
      <w:r>
        <w:rPr>
          <w:rFonts w:ascii="Times New Roman;Times;serif" w:hAnsi="Times New Roman;Times;serif"/>
          <w:color w:val="000000"/>
          <w:sz w:val="20"/>
        </w:rPr>
        <w:t>”), which includes, among other things, the recommendation of the Forte Board that Forte’s stockholders accept the Offer and tender their Shares to Purchaser pursuant to the Offer.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The Offer and withdrawal rights will expire at one minute following 11:59 p.m., Eastern Time, on August 26, 2026, unless the Offer is extended or earlier terminated (such date, or any subsequent date to which the expiration of the Offer is extended, the “</w:t>
      </w:r>
      <w:r>
        <w:rPr>
          <w:rFonts w:ascii="Times New Roman;Times;serif" w:hAnsi="Times New Roman;Times;serif"/>
          <w:b/>
          <w:color w:val="000000"/>
          <w:sz w:val="20"/>
          <w:u w:val="single"/>
        </w:rPr>
        <w:t>Expiration Date</w:t>
      </w:r>
      <w:r>
        <w:rPr>
          <w:rFonts w:ascii="Times New Roman;Times;serif" w:hAnsi="Times New Roman;Times;serif"/>
          <w:b/>
          <w:color w:val="000000"/>
          <w:sz w:val="20"/>
        </w:rPr>
        <w:t>”).</w:t>
      </w:r>
      <w:r>
        <w:rPr>
          <w:rFonts w:ascii="Times New Roman;Times;serif" w:hAnsi="Times New Roman;Times;serif"/>
          <w:color w:val="000000"/>
          <w:sz w:val="20"/>
        </w:rPr>
        <w:t xml:space="preserve"> Any extension, delay, termination or amendment of the Offer will be followed as promptly as practicable by a public announcement thereof, and such announcement, in the case of an extension, will be made no later than 9:00 a.m., Eastern Time, on the next business day after the previously scheduled Expiration Date. </w:t>
      </w:r>
      <w:r>
        <w:rPr>
          <w:rFonts w:ascii="Times New Roman;Times;serif" w:hAnsi="Times New Roman;Times;serif"/>
          <w:b/>
          <w:color w:val="000000"/>
          <w:sz w:val="20"/>
        </w:rPr>
        <w:t>Purchaser is not providing for guaranteed delivery procedures.</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Purchaser’s obligation to pay for Shares validly tendered (and not validly withdrawn) pursuant to the Offer is subject to certain conditions, including, among others, (a) the Minimum Condition (as defined below) and (b) the expiration or termination of the waiting period (and any extension thereof) under the Hart-Scott-Rodino Antitrust Improvements Act of 1976. The “</w:t>
      </w:r>
      <w:r>
        <w:rPr>
          <w:rFonts w:ascii="Times New Roman;Times;serif" w:hAnsi="Times New Roman;Times;serif"/>
          <w:color w:val="000000"/>
          <w:sz w:val="20"/>
          <w:u w:val="single"/>
        </w:rPr>
        <w:t>Minimum Condition</w:t>
      </w:r>
      <w:r>
        <w:rPr>
          <w:rFonts w:ascii="Times New Roman;Times;serif" w:hAnsi="Times New Roman;Times;serif"/>
          <w:color w:val="000000"/>
          <w:sz w:val="20"/>
        </w:rPr>
        <w:t>” means that there will have been validly tendered (and not validly withdrawn) in the Offer a number of Shares that, considered together with all other Shares owned by Purchaser and its affiliates, represent one more Share than 50% of the total number of Shares outstanding as of immediately following the consummation of the Offer. The Offer is not subject to a financing condition.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documentation relating to the Offer (including the Offer to Purchase, the Letter of Transmittal and Schedule 14D-9) can be accessed at the following link: https://www.shareholdermaterials.com/argx2026/. </w:t>
      </w:r>
      <w:r>
        <w:rPr>
          <w:rFonts w:ascii="Times New Roman;Times;serif" w:hAnsi="Times New Roman;Times;serif"/>
          <w:b/>
          <w:color w:val="000000"/>
          <w:sz w:val="20"/>
        </w:rPr>
        <w:t>The Offer to Purchase, the related Letter of Transmittal and the Schedule 14D-9 (which contains the recommendation of the Forte Board and the reasons therefor) contain important information. Forte’s stockholders should carefully read all documents in their entirety before any decision is made with respect to the Offer.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Questions or requests for assistance may be directed to Innisfree M&amp;A Incorporated (the “</w:t>
      </w:r>
      <w:r>
        <w:rPr>
          <w:rFonts w:ascii="Times New Roman;Times;serif" w:hAnsi="Times New Roman;Times;serif"/>
          <w:color w:val="000000"/>
          <w:sz w:val="20"/>
          <w:u w:val="single"/>
        </w:rPr>
        <w:t>Information Agent</w:t>
      </w:r>
      <w:r>
        <w:rPr>
          <w:rFonts w:ascii="Times New Roman;Times;serif" w:hAnsi="Times New Roman;Times;serif"/>
          <w:color w:val="000000"/>
          <w:sz w:val="20"/>
        </w:rPr>
        <w:t>”) at the address and telephone numbers set forth below. Requests for copies of the Offer to Purchase, the related Letter of Transmittal and other tender offer materials may be directed to the Information Agent or to brokers, dealers, commercial banks or trust companies. Such copies will be furnished promptly at Purchaser’s expense.</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INNISFREE M&amp;A INCORPORATED</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500 Fifth Avenue, 21st Floor</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New York, NY 10110</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Shareholders May Call Toll Free:</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(877) 800-5190 (from the U.S. and Canada), or</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+1 (412) 232-3651 (from other countries)</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Banks and Brokers May Call Collect: (212) 750-5833</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argenx</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argenx is a global immunology innovation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www.argenx.com  and follow us on LinkedIn, Instagram, Facebook, and YouTube.</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Forte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Forte Biosciences, Inc. is a clinical-stage biopharmaceutical company that is advancing FB102, which is a proprietary anti-CD122 monoclonal antibody therapeutic candidate with potentially broad autoimmune and autoimmune-related indications.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This press release contains inside information within the meaning of Article 7(1) of the EU Market Abuse Regulation (Regulation 596/2014).</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Contacts</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Media: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Ben Petok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bpetok@argenx.com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Investors: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Alexandra Roy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aroy@argenx.com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Additional Information and Where to Find It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document is for informational purposes only and is neither a recommendation, nor an offer to purchase nor a solicitation of an offer to sell any securities of Forte or any other entity, nor is it a substitute for any tender offer materials that argenx, Purchaser or Forte have filed with the SEC. argenx and Purchaser have filed a Tender Offer Statement on Schedule TO with the SEC with respect to the Offer, and Forte has filed a Solicitation/Recommendation Statement on Schedule 14D-9 with the SEC with respect to the Offer. The Offer is being made solely pursuant to the Offer to Purchase, and the exhibits filed with respect thereto (including the Letter of Transmittal), which contain the full terms and conditions of the Offer. SECURITYHOLDERS AND OTHER INVESTORS ARE URGED TO READ THE TENDER OFFER MATERIALS (INCLUDING AN OFFER TO PURCHASE, A RELATED LETTER OF TRANSMITTAL AND CERTAIN OTHER TENDER OFFER DOCUMENTS) AND THE SOLICITATION/RECOMMENDATION STATEMENT ON SCHEDULE 14D-9 REGARDING THE OFFER, AS THEY MAY BE AMENDED FROM TIME TO TIME, WHEN THEY BECOME AVAILABLE CAREFULLY AND IN THEIR ENTIRETY BECAUSE THEY WILL CONTAIN IMPORTANT INFORMATION THAT INVESTORS AND SECURITYHOLDERS SHOULD READ CAREFULLY BEFORE ANY DECISION IS MADE WITH RESPECT TO THE TENDER OFFER. The Offer to Purchase, the related Letter of Transmittal and certain other documents relating to the Offer, as well as the Solicitation/Recommendation Statement on Schedule 14D-9, have been sent to all record holders of Shares whose names appear on Forte’s stockholder list. The Tender Offer Statement on Schedule TO, the Solicitation/Recommendation Statement on Schedule 14D-9 and other related documents are available for free at the SEC’s website at https://www.sec.gov/ and under the “SEC filings” section of argenx’s investor relations website at https://argenx.com/investors/sec-filings. The Solicitation/Recommendation Statement on Schedule 14D-9 and other related documents that Forte has filed with or furnished to the SEC are available for free at the SEC’s website at https://www.sec.gov/ and under the “SEC Filings” section of Forte’s investor relations website at https://www.fortebiorx.com/investor-relations/sec-filings/default.aspx.</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addition to the Offer to Purchase, the related Letter of Transmittal and certain other documents relating to the Offer, as well as the Solicitation/Recommendation Statement on Schedule 14D-9, Forte and argenx file or furnish, as applicable, annual, quarterly and current reports and other information with the SEC. Forte’s and argenx’s filings with the SEC are available to the public from commercial document-retrieval services and at the SEC’s website at www.sec.gov.</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Forward Looking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contents of this press release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Forward-looking statements include, without limitation, statements regarding the tender offer, the merger and other related matters; prospective performance and opportunities; post-closing operations and the outlook for the businesses of Forte and argenx, including, without limitation, results from clinical trials, regulatory applications and related timelines, the ability of argenx to advance Forte’s product pipeline; and any assumptions underlying any of the foregoing. argenx’s actual results may differ materially from those predicted by the forward-looking statements as a result of various important factors, including but not limited to, uncertainties as to the timing of the tender offer and the merger; the risk that the tender offer or the merger may not be completed in a timely manner or at all; uncertainties as to the percentage of Forte’s stockholders tendering their shares in the tender offer; the possibility that competing offers or acquisition proposals for Forte will be made; the possibility that any or all of the various conditions to the consummation of the tender offer or the merger may not be satisfied or waived, including the failure to receive any required regulatory approvals from any applicable governmental entities (or any conditions, limitations or restrictions placed on such approvals); the occurrence of any event, change or other circumstance that could give rise to the termination of the merger agreement, including in circumstances that would require Forte to pay a termination fee or other expenses; the effect of the announcement or pendency of the transactions contemplated by the merger agreement on argenx’s business; the effect of the announcement or pendency of the transactions contemplated by the merger agreement on Forte’s business, its ability to retain and hire key personnel, its ability to maintain relationships with its suppliers and others with whom it does business, or its operating results and business generally; risks related to diverting management’s attention from argenx’s ongoing business operations; the risk that stockholder litigation in connection with the transactions contemplated by the merger agreement may result in significant costs of defense, indemnification and liability.</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further list and description of these and other risks, uncertainties, and factors that could cause actual results to differ materially from those referred to in the forward-looking statements can be found in argenx’s and Forte’s SEC filings and reports, including in argenx’s most recent annual report on Form 20-F filed with the SEC and Forte’s most recent Annual Report on Form 10-K filed with the SEC as well as subsequent filings and reports filed by the companies with the SEC. Given these risks and uncertainties, the reader is advised not to place undue reliance on such forward-looking statements. These forward-looking statements speak only as of the date of publication of this press release.  argenx undertakes no obligation to publicly update or revise the information in this press release, including any forward-looking statements, except as may be required by law.</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2681</Words>
  <Characters>15088</Characters>
  <CharactersWithSpaces>17835</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