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</w:t>
      </w:r>
      <w:r>
        <w:rPr/>
        <w:t>December 18, 2025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Karl Gubitz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argenx SE</w:t>
      </w:r>
    </w:p>
    <w:p>
      <w:pPr>
        <w:pStyle w:val="PreformattedText"/>
        <w:bidi w:val="0"/>
        <w:spacing w:before="0" w:after="0"/>
        <w:jc w:val="left"/>
        <w:rPr/>
      </w:pPr>
      <w:r>
        <w:rPr/>
        <w:t>Laarderhoogtweg 25</w:t>
      </w:r>
    </w:p>
    <w:p>
      <w:pPr>
        <w:pStyle w:val="PreformattedText"/>
        <w:bidi w:val="0"/>
        <w:spacing w:before="0" w:after="0"/>
        <w:jc w:val="left"/>
        <w:rPr/>
      </w:pPr>
      <w:r>
        <w:rPr/>
        <w:t>1101 EB Amsterdam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argenx 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Form 20-F for Fiscal Year Ended December 31,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001-38097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Karl Gubitz: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completed our review of your filing. We remind 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its management are responsible for the accuracy and adequacy of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 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Division of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Finance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                                              </w:t>
      </w:r>
      <w:r>
        <w:rPr/>
        <w:t>Office of Life Sciences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81</Words>
  <Characters>431</Characters>
  <CharactersWithSpaces>756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