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ARGENX SE - ADR</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ADR</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2,649,465.00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2,675,457.00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2,675,457.00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5"/>
        <w:gridCol w:w="9085"/>
        <w:gridCol w:w="155"/>
      </w:tblGrid>
      <w:tr>
        <w:trPr/>
        <w:tc>
          <w:tcPr>
            <w:tcW w:w="965"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ARGENX SE - ADR</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INDUSTRIEPARK ZWIJNAARDE 7, BUILDING C B-9052, ZWIJNAARDE, C9, B-9052</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ADR</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3.</w:t>
            </w:r>
          </w:p>
        </w:tc>
        <w:tc>
          <w:tcPr>
            <w:tcW w:w="90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(f)</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(g)</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(h)</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(j)</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(k)</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24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2675457</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4.3  %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2649465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2675457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3946</Characters>
  <CharactersWithSpaces>4712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