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326d1_6k.htm"/>
      <w:bookmarkStart w:id="1" w:name="kstm262132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001-38097</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ARGENX SE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Laarderhoogtweg 25</w:t>
        <w:br/>
        <w:t>1101 EB Amsterdam, the Netherlands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argenx SE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 press release, a copy of which is attached hereto as Exhibit 99.1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 xml:space="preserve">The information contained in this Current Report on Form 6-K, including Exhibit 99.1, shall be deemed to be incorporated by reference into the Company’s Registration Statements on Forms S-8 (File Nos. </w:t>
      </w:r>
      <w:hyperlink r:id="rId2">
        <w:r>
          <w:rPr>
            <w:rStyle w:val="InternetLink"/>
            <w:rFonts w:ascii="Times New Roman;Times;Serif" w:hAnsi="Times New Roman;Times;Serif"/>
            <w:b w:val="false"/>
            <w:i/>
            <w:caps w:val="false"/>
            <w:smallCaps w:val="false"/>
            <w:sz w:val="20"/>
          </w:rPr>
          <w:t>333-225375</w:t>
        </w:r>
      </w:hyperlink>
      <w:r>
        <w:rPr>
          <w:rFonts w:ascii="Times New Roman;Times;Serif" w:hAnsi="Times New Roman;Times;Serif"/>
          <w:b w:val="false"/>
          <w:i/>
          <w:caps w:val="false"/>
          <w:smallCaps w:val="false"/>
          <w:sz w:val="20"/>
        </w:rPr>
        <w:t>, </w:t>
      </w:r>
      <w:hyperlink r:id="rId3">
        <w:r>
          <w:rPr>
            <w:rStyle w:val="InternetLink"/>
            <w:rFonts w:ascii="Times New Roman;Times;Serif" w:hAnsi="Times New Roman;Times;Serif"/>
            <w:b w:val="false"/>
            <w:i/>
            <w:caps w:val="false"/>
            <w:smallCaps w:val="false"/>
            <w:sz w:val="20"/>
          </w:rPr>
          <w:t>333-258253</w:t>
        </w:r>
      </w:hyperlink>
      <w:r>
        <w:rPr>
          <w:rFonts w:ascii="Times New Roman;Times;Serif" w:hAnsi="Times New Roman;Times;Serif"/>
          <w:b w:val="false"/>
          <w:i/>
          <w:caps w:val="false"/>
          <w:smallCaps w:val="false"/>
          <w:sz w:val="20"/>
        </w:rPr>
        <w:t xml:space="preserve">, </w:t>
      </w:r>
      <w:hyperlink r:id="rId4">
        <w:r>
          <w:rPr>
            <w:rStyle w:val="InternetLink"/>
            <w:rFonts w:ascii="Times New Roman;Times;Serif" w:hAnsi="Times New Roman;Times;Serif"/>
            <w:b w:val="false"/>
            <w:i/>
            <w:caps w:val="false"/>
            <w:smallCaps w:val="false"/>
            <w:sz w:val="20"/>
          </w:rPr>
          <w:t>333-274721</w:t>
        </w:r>
      </w:hyperlink>
      <w:r>
        <w:rPr>
          <w:rFonts w:ascii="Times New Roman;Times;Serif" w:hAnsi="Times New Roman;Times;Serif"/>
          <w:b w:val="false"/>
          <w:i/>
          <w:caps w:val="false"/>
          <w:smallCaps w:val="false"/>
          <w:sz w:val="20"/>
        </w:rPr>
        <w:t xml:space="preserve">, and </w:t>
      </w:r>
      <w:hyperlink r:id="rId5">
        <w:r>
          <w:rPr>
            <w:rStyle w:val="InternetLink"/>
            <w:rFonts w:ascii="Times New Roman;Times;Serif" w:hAnsi="Times New Roman;Times;Serif"/>
            <w:b w:val="false"/>
            <w:i/>
            <w:caps w:val="false"/>
            <w:smallCaps w:val="false"/>
            <w:sz w:val="20"/>
          </w:rPr>
          <w:t>333-292200</w:t>
        </w:r>
      </w:hyperlink>
      <w:r>
        <w:rPr>
          <w:rFonts w:ascii="Times New Roman;Times;Serif" w:hAnsi="Times New Roman;Times;Serif"/>
          <w:b w:val="false"/>
          <w:i/>
          <w:caps w:val="false"/>
          <w:smallCaps w:val="false"/>
          <w:sz w:val="20"/>
        </w:rPr>
        <w:t>), and to be part thereof from the date on which this Current Report on Form 6-K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28" w:type="dxa"/>
          <w:right w:w="0" w:type="dxa"/>
        </w:tblCellMar>
      </w:tblPr>
      <w:tblGrid>
        <w:gridCol w:w="665"/>
        <w:gridCol w:w="60"/>
        <w:gridCol w:w="227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center"/>
              <w:rPr/>
            </w:pPr>
            <w:r>
              <w:rPr/>
              <w:t> </w:t>
            </w:r>
          </w:p>
        </w:tc>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132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jc w:val="left"/>
              <w:rPr/>
            </w:pPr>
            <w:hyperlink w:anchor="tm2621326d1_ex99-1.htm">
              <w:r>
                <w:rPr>
                  <w:rStyle w:val="InternetLink"/>
                  <w:rFonts w:ascii="Times New Roman;Times;Serif" w:hAnsi="Times New Roman;Times;Serif"/>
                  <w:sz w:val="20"/>
                </w:rPr>
                <w:t>Press Release July 27,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495" w:type="dxa"/>
        <w:jc w:val="left"/>
        <w:tblInd w:w="0" w:type="dxa"/>
        <w:tblLayout w:type="fixed"/>
        <w:tblCellMar>
          <w:top w:w="0" w:type="dxa"/>
          <w:left w:w="0" w:type="dxa"/>
          <w:bottom w:w="0" w:type="dxa"/>
          <w:right w:w="0" w:type="dxa"/>
        </w:tblCellMar>
      </w:tblPr>
      <w:tblGrid>
        <w:gridCol w:w="1625"/>
        <w:gridCol w:w="320"/>
        <w:gridCol w:w="650"/>
        <w:gridCol w:w="2900"/>
      </w:tblGrid>
      <w:tr>
        <w:trPr/>
        <w:tc>
          <w:tcPr>
            <w:tcW w:w="1625" w:type="dxa"/>
            <w:tcBorders/>
            <w:vAlign w:val="center"/>
          </w:tcPr>
          <w:p>
            <w:pPr>
              <w:pStyle w:val="TableContents"/>
              <w:bidi w:val="0"/>
              <w:spacing w:before="0" w:after="283"/>
              <w:jc w:val="left"/>
              <w:rPr/>
            </w:pPr>
            <w:r>
              <w:rPr/>
              <w:t> </w:t>
            </w:r>
          </w:p>
        </w:tc>
        <w:tc>
          <w:tcPr>
            <w:tcW w:w="387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ARGENX SE</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50"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Hemamalini (Malini) Moorthy</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900" w:type="dxa"/>
            <w:tcBorders/>
            <w:vAlign w:val="center"/>
          </w:tcPr>
          <w:p>
            <w:pPr>
              <w:pStyle w:val="TableContents"/>
              <w:bidi w:val="0"/>
              <w:spacing w:before="0" w:after="283"/>
              <w:jc w:val="left"/>
              <w:rPr/>
            </w:pPr>
            <w:r>
              <w:rPr/>
              <w:t>Hemamalini (Malini) Moorthy</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900" w:type="dxa"/>
            <w:tcBorders/>
            <w:vAlign w:val="center"/>
          </w:tcPr>
          <w:p>
            <w:pPr>
              <w:pStyle w:val="TableContents"/>
              <w:bidi w:val="0"/>
              <w:spacing w:before="0" w:after="283"/>
              <w:jc w:val="left"/>
              <w:rPr/>
            </w:pPr>
            <w:r>
              <w:rP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pPr>
      <w:bookmarkStart w:id="2" w:name="tm2621326d1_ex99-1.htm"/>
      <w:bookmarkStart w:id="3" w:name="kstm2621326d1_ex991"/>
      <w:bookmarkEnd w:id="2"/>
      <w:bookmarkEnd w:id="3"/>
      <w:r>
        <w:rPr/>
        <w:t> </w:t>
      </w:r>
      <w:r>
        <w:br w:type="page"/>
      </w:r>
    </w:p>
    <w:p>
      <w:pPr>
        <w:pStyle w:val="TextBody"/>
        <w:bidi w:val="0"/>
        <w:spacing w:before="0" w:after="0"/>
        <w:ind w:left="0" w:right="0" w:hanging="0"/>
        <w:jc w:val="right"/>
        <w:rPr>
          <w:b/>
        </w:rPr>
      </w:pPr>
      <w:r>
        <w:rPr>
          <w:b/>
        </w:rPr>
        <w:t>Exhibit 99.1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argenx to Acquire Forte Biosciences, Inc., Adding First-in-Class anti-CD122 </w:t>
        <w:br/>
        <w:t xml:space="preserve">Antibody, FB102, to its Immunology Pipeline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i/>
              </w:rPr>
            </w:pPr>
            <w:r>
              <w:rPr>
                <w:i/>
              </w:rPr>
              <w:t>Transaction builds on argenx’s prior strategic investment in Forte Biosciences and reflects a disciplined approach to accessing novel biology that can fuel long-term growth</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i/>
              </w:rPr>
            </w:pPr>
            <w:r>
              <w:rPr>
                <w:i/>
              </w:rPr>
              <w:t>FB102 Phase 1b studies in vitiligo and celiac disease validate CD122 biology and pipeline-in-a-product potential to address diseases with high unmet need that have lacked innovation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i/>
              </w:rPr>
            </w:pPr>
            <w:r>
              <w:rPr>
                <w:i/>
              </w:rPr>
              <w:t>Acquisition strengthens argenx’s innovative immunology portfolio with the addition of a differentiated approach to targeting pathogenic T-cell and NK-cell activity through CD122 biology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26"/>
        <w:gridCol w:w="10036"/>
      </w:tblGrid>
      <w:tr>
        <w:trPr/>
        <w:tc>
          <w:tcPr>
            <w:tcW w:w="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6" w:type="dxa"/>
            <w:tcBorders/>
            <w:vAlign w:val="center"/>
          </w:tcPr>
          <w:p>
            <w:pPr>
              <w:pStyle w:val="TableContents"/>
              <w:bidi w:val="0"/>
              <w:spacing w:before="0" w:after="283"/>
              <w:jc w:val="both"/>
              <w:rPr>
                <w:i/>
              </w:rPr>
            </w:pPr>
            <w:r>
              <w:rPr>
                <w:i/>
              </w:rPr>
              <w:t>argenx will host an investor conference call today at 8:00 a.m. ET to discuss the transaction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27, 2026 – 7:00 AM CET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Amsterdam, the Netherlands and Dallas, Texas – argenx </w:t>
      </w:r>
      <w:r>
        <w:rPr>
          <w:rFonts w:ascii="Times New Roman;Times;Serif" w:hAnsi="Times New Roman;Times;Serif"/>
          <w:b w:val="false"/>
          <w:i w:val="false"/>
          <w:caps w:val="false"/>
          <w:smallCaps w:val="false"/>
          <w:sz w:val="20"/>
        </w:rPr>
        <w:t xml:space="preserve">(Euronext &amp; Nasdaq: ARGX), a global immunology innovation company, and </w:t>
      </w:r>
      <w:r>
        <w:rPr>
          <w:rFonts w:ascii="Times New Roman;Times;Serif" w:hAnsi="Times New Roman;Times;Serif"/>
          <w:b/>
          <w:i w:val="false"/>
          <w:caps w:val="false"/>
          <w:smallCaps w:val="false"/>
          <w:sz w:val="20"/>
        </w:rPr>
        <w:t xml:space="preserve">Forte Biosciences, Inc. </w:t>
      </w:r>
      <w:r>
        <w:rPr>
          <w:rFonts w:ascii="Times New Roman;Times;Serif" w:hAnsi="Times New Roman;Times;Serif"/>
          <w:b w:val="false"/>
          <w:i w:val="false"/>
          <w:caps w:val="false"/>
          <w:smallCaps w:val="false"/>
          <w:sz w:val="20"/>
        </w:rPr>
        <w:t>(Nasdaq: FBRX) today announced that the companies have entered into a definitive agreement under which argenx will acquire Forte Biosciences for $77 per share in cash, representing a total equity value of approximately $2.2 billion.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FB102, Forte Biosciences’ lead program, expands argenx’s portfolio of differentiated immunology medicines, adding a first-in-class anti-CD122 antibody with clinical proof-of-concept in vitiligo and celiac disease and potential to address multiple autoimmune diseases. The acquisition reflects argenx’s disciplined approach to identifying and advancing breakthrough science for patients with the potential to redefine standards of care in diseases that have lacked meaningful innovation for decades.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Vision 2030 strategy is well-defined and on track, and our discovery, development and commercialization engines are delivering real value for patients,” said Karen Massey, Chief Executive Officer of argenx. “The acquisition of Forte Biosciences builds on the strength of that foundation and advances our ambition to be the leading immunology innovator of the future. The addition of FB102 to our portfolio aligns perfectly with the argenx playbook: compelling biology, strong clinical validation and broad potential to address patient need. I am grateful to the Forte Biosciences team for their outstanding work. Together, we look forward to unlocking the full potential of FB102 and accelerating its impact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incredibly proud of what we have achieved in advancing FB102 through clinical development and firmly believe that argenx is the ideal strategic partner to unlock the full potential of this novel anti-CD122 antibody across a broad range of autoimmune diseases,” said Paul A. Wagner, Ph.D., Chief Executive Officer and Chairperson of the Board of Forte Biosciences. “By combining FB102’s promising clinical profile with argenx’s proven development expertise, global reach and commercial capabilities, we have a unique opportunity to accelerate its development and maximize its impact for patients living with vitiligo, celiac disease, alopecia areata and other autoimmune conditions. We are excited about the future of FB102 and the potential to bring this innovative therapy to many more patients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Forte Biosciences recently reported positive Phase 1b data in vitiligo, demonstrating statistically significant treatment benefit. In addition, positive FB102 Phase 1b data in celiac disease was shared last year, with Phase 2 data expected in the second half of this year. These studies were key drivers of argenx’s decision to move from strategic investment to acquisition, providing clinical evidence in indications with significant unmet need and limited treatment options. Beyond celiac disease and vitiligo, FB102 has the potential to address alopecia areata and additional autoimmune diseases, supporting its profile as a potential pipeline-in-a-product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FB102 complements argenx’s existing portfolio of antibody-based programs, including efgartigimod, empasiprubart, adimanebart, and ARGX-121, as well as several additional early-stage molecules, by adding a mechanism focused on pathogenic T-cell and NK-cell activity, broadening the company’s ability to pursue diseases driven by different dimensions of the immune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argenx, through a wholly owned subsidiary, will commence a cash tender offer to acquire all of the outstanding shares of Forte Biosciences’ common stock at a price of $77 per share, representing a total equity value of approximately $2.2 billion and a premium of approximately 86% to Forte Biosciences’ volume-weighted average price (VWAP) since reporting positive Phase 1b data in vitiligo on July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tender offer is subject to customary closing conditions, including the tender of at least a majority of the outstanding shares of Forte Biosciences, and the expiration or termination of the waiting period under the Hart-Scott-Rodino Antitrust Improvements Act of 1976. Following the successful completion of the tender offer, a wholly owned subsidiary of argenx will merge with Forte Biosciences and the outstanding Forte Biosciences shares not tendered in the tender offer will be converted into the right to receive the same $77 per share in cash paid in the tender offer. The transaction is not subject to a financing condition and will be funded entirely from cash on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of directors of both companies have approved the transaction. The acquisition is expected to close in Q3 2026, subject to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argenx Conference Call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argenx will host an investor conference call and webcast today at 8:00 a.m. ET to discuss the transaction. A webcast of the conference call may be accessed on the Investors section of the argenx website at </w:t>
      </w:r>
      <w:r>
        <w:rPr>
          <w:rFonts w:ascii="Times New Roman;Times;Serif" w:hAnsi="Times New Roman;Times;Serif"/>
          <w:b w:val="false"/>
          <w:i w:val="false"/>
          <w:caps w:val="false"/>
          <w:smallCaps w:val="false"/>
          <w:sz w:val="20"/>
          <w:u w:val="single"/>
        </w:rPr>
        <w:t>argenx.com/investors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can access the conference call by dialing 800-590-8290 (United States and Canada) or 240-690-8800 (International). Country specific dial-in numbers are listed below:</w:t>
      </w:r>
    </w:p>
    <w:p>
      <w:pPr>
        <w:pStyle w:val="TextBody"/>
        <w:bidi w:val="0"/>
        <w:spacing w:before="0" w:after="0"/>
        <w:ind w:left="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400"/>
        <w:gridCol w:w="1415"/>
        <w:gridCol w:w="75"/>
      </w:tblGrid>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Belgium</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32 2290 4635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33 172 001717</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Netherlands</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31 20 795 2683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44 203 393 1560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81 3 4520 9761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41 43 210 51 68</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Use the access code 3810049 to join the call. Please dial in 15 minutes prior to the live call. </w:t>
      </w:r>
      <w:r>
        <w:rPr>
          <w:rFonts w:ascii="Times New Roman;Times;Serif" w:hAnsi="Times New Roman;Times;Serif"/>
          <w:b w:val="false"/>
          <w:i w:val="false"/>
          <w:caps w:val="false"/>
          <w:smallCaps w:val="false"/>
          <w:sz w:val="20"/>
        </w:rPr>
        <w:t>A replay of the webcast will be available on the argenx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Advisors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International is serving as exclusive financial advisor and Freshfields LLP is serving as legal advisor to argenx. Guggenheim Securities, LLC is serving as exclusive financial advisor and Wilson Sonsini Goodrich &amp; Rosati, P.C. is serving as legal counsel to Forte Biosciences.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argenx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argenx is a global immunology innovation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Times;Serif" w:hAnsi="Times New Roman;Times;Serif"/>
          <w:b w:val="false"/>
          <w:i w:val="false"/>
          <w:caps w:val="false"/>
          <w:smallCaps w:val="false"/>
          <w:sz w:val="20"/>
          <w:u w:val="single"/>
        </w:rPr>
        <w:t>www.argenx.com</w:t>
      </w:r>
      <w:r>
        <w:rPr>
          <w:rFonts w:ascii="Times New Roman;Times;Serif" w:hAnsi="Times New Roman;Times;Serif"/>
          <w:b w:val="false"/>
          <w:i w:val="false"/>
          <w:caps w:val="false"/>
          <w:smallCaps w:val="false"/>
          <w:sz w:val="20"/>
        </w:rPr>
        <w:t>  and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Forte Biosciences,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Forte Biosciences, Inc. is a clinical-stage biopharmaceutical company that is advancing FB102, which is a proprietary anti-CD122 monoclonal antibody therapeutic candidate with potentially broad autoimmune and autoimmune-related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press release contains inside information within the meaning of Article 7(1) of the EU Market Abuse Regulation (Regulation 596/2014).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Petok</w:t>
        <w:br/>
      </w:r>
      <w:r>
        <w:rPr>
          <w:rFonts w:ascii="Times New Roman;Times;Serif" w:hAnsi="Times New Roman;Times;Serif"/>
          <w:b w:val="false"/>
          <w:i w:val="false"/>
          <w:caps w:val="false"/>
          <w:smallCaps w:val="false"/>
          <w:sz w:val="20"/>
          <w:u w:val="single"/>
        </w:rPr>
        <w:t>bpetok@argenx.com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Alexandra Roy</w:t>
        <w:br/>
      </w:r>
      <w:r>
        <w:rPr>
          <w:rFonts w:ascii="Times New Roman;Times;Serif" w:hAnsi="Times New Roman;Times;Serif"/>
          <w:b w:val="false"/>
          <w:i w:val="false"/>
          <w:caps w:val="false"/>
          <w:smallCaps w:val="false"/>
          <w:sz w:val="20"/>
          <w:u w:val="single"/>
        </w:rPr>
        <w:t>aroy@argenx.com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International, which is authorized by the Prudential Regulation Authority and regulated by the Financial Conduct Authority and the Prudential Regulation Authority in the United Kingdom, is acting for argenx and no one else in connection with the transaction and will not be responsible to anyone other than argenx for providing the protections afforded to clients of Goldman Sachs International, or for giving advice in connection with the transaction or any matter referred to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has not yet commenced. This document is for informational purposes only and is neither a recommendation, nor an offer to purchase nor a solicitation of an offer to sell any securities of Forte Biosciences or any other entity, nor is it a substitute for any tender offer materials that argenx, Avena Merger Sub Inc. or Forte Biosciences will file with the U.S. Securities and Exchange Commission (SEC). A solicitation and an offer to buy securities of Forte Biosciences will be made only pursuant to an offer to purchase and related materials that argenx and Avena Merger Sub Inc. intend to file with the SEC. At the time the tender offer is commenced, argenx and Avena Merger Sub Inc. will file a Tender Offer Statement on Schedule TO, including an offer to purchase, a letter of transmittal and related documents, with the SEC, and Forte Biosciences thereafter will file a Solicitation/Recommendation Statement on Schedule 14D-9 with the SEC with respect to the tender offer. SECURITYHOLDERS AND OTHER INVESTORS ARE URGED TO READ THE TENDER OFFER MATERIALS (INCLUDING AN OFFER TO PURCHASE, A RELATED LETTER OF TRANSMITTAL AND CERTAIN OTHER TENDER OFFER DOCUMENTS) AND THE SOLICITATION/RECOMMENDATION STATEMENT ON SCHEDULE 14D-9 REGARDING THE OFFER, AS THEY MAY BE AMENDED FROM TIME TO TIME, WHEN THEY BECOME AVAILABLE CAREFULLY AND IN THEIR ENTIRETY BECAUSE THEY WILL CONTAIN IMPORTANT INFORMATION THAT INVESTORS AND SECURITYHOLDERS SHOULD READ CAREFULLY BEFORE ANY DECISION IS MADE WITH RESPECT TO THE TENDER OFFER. The offer to purchase, the related letter of transmittal and certain other tender offer documents, as well as the Solicitation/Recommendation Statement on Schedule 14D-9, will be sent to all stockholders of Forte Biosciences at no expense to them. The Tender Offer Statement on Schedule TO, the Solicitation/Recommendation Statement on Schedule 14D-9 and other related documents will be made available for free at the SEC’s website at https://www.sec.gov/ and under the “SEC filings” section of argenx’s investor relations website at https://argenx.com/investors/sec-filings. The Solicitation/Recommendation Statement on Schedule 14D-9 and other related documents that Forte Biosciences has filed with or furnished to the SEC will be made available for free at the SEC’s website at https://www.sec.gov/ and under the “SEC Filings” section of Forte Biosciences’ investor relations website at https://www.fortebiorx.com/investor-relations/sec-filings/default.aspx.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 of argenx and Forte Biosciences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announcement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Forward-looking statements include, without limitation, statements regarding the tender offer, the merger and other related matters; prospective performance and opportunities; post-closing operations and the outlook for the businesses of Forte Biosciences and argenx, including, without limitation, results from clinical trials, regulatory applications and related timelines and the ability of argenx to advance Forte Biosciences’ product pipeline; and any assumptions underlying any of the foregoing. The companies’ actual results may differ materially from those predicted by the forward-looking statements as a result of various important factors, including but not limited to, uncertainties as to the timing of the tender offer and the merger; the risk that the tender offer or the merger may not be completed in a timely manner or at all; uncertainties as to the percentage of Forte Biosciences’ stockholders tendering their shares in the tender offer; the possibility that competing offers or acquisition proposals for Forte Biosciences will be made; the possibility that any or all of the various conditions to the consummation of the tender offer or the merger may not be satisfied or waived, including the failure to receive any required regulatory approvals from any applicable governmental entities (or any conditions, limitations or restrictions placed on such approvals); the occurrence of any event, change or other circumstance that could give rise to the termination of the merger agreement, including in circumstances that would require Forte Biosciences to pay a termination fee or other expenses; the effect of the announcement or pendency of the transactions contemplated by the merger agreement on argenx’s business; the effect of the announcement or pendency of the transactions contemplated by the merger agreement on Forte Biosciences’ business, its ability to retain and hire key personnel, its ability to maintain relationships with its suppliers and others with whom it does business, or its operating results and business generally; risks related to diverting management’s attention from the companies’ ongoing business operations; the risk that stockholder litigation in connection with the transactions contemplated by the merger agreement may result in significant costs of defense, indemnification and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list and description of these and other risks, uncertainties, and factors that could cause actual results to differ materially from those referred to in the forward-looking statements can be found in argenx’s SEC filings and reports, including in argenx’s most recent annual report on Form 20-F filed with the SEC as well as subsequent filings and reports filed by argenx with the SEC and Forte Biosciences’ most recent Annual Report on Form 10-K filed with the SEC as well as subsequent filings and reports filed by the companies with the SEC. Given these risks and uncertainties, the reader is advised not to place undue reliance on such forward-looking statements. These forward-looking statements speak only as of the date of publication of this press release. Neither argenx nor Forte Biosciences undertake any obligation to publicly update or revise the information in this press release, including any forward-looking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7862/000110465918037616/a18-14643_3s8.htm" TargetMode="External"/><Relationship Id="rId3" Type="http://schemas.openxmlformats.org/officeDocument/2006/relationships/hyperlink" Target="https://www.sec.gov/Archives/edgar/data/1697862/000110465921097298/tm2123453d1_s8.htm" TargetMode="External"/><Relationship Id="rId4" Type="http://schemas.openxmlformats.org/officeDocument/2006/relationships/hyperlink" Target="https://www.sec.gov/Archives/edgar/data/1697862/000110465923104307/tm2326371d1_s8.htm" TargetMode="External"/><Relationship Id="rId5" Type="http://schemas.openxmlformats.org/officeDocument/2006/relationships/hyperlink" Target="https://www.sec.gov/Archives/edgar/data/1697862/000110465925122044/tm2533221d1_s8.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2501</Words>
  <Characters>14479</Characters>
  <CharactersWithSpaces>17020</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