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U.S. Securities and Exchange Commission on December 17, 2025</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53340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ARGENX SE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7" w:lineRule="exact"/>
        <w:rPr>
          <w:sz w:val="24"/>
          <w:szCs w:val="24"/>
          <w:color w:val="auto"/>
        </w:rPr>
      </w:pPr>
    </w:p>
    <w:tbl>
      <w:tblPr>
        <w:tblLayout w:type="fixed"/>
        <w:tblInd w:w="2080" w:type="dxa"/>
        <w:tblCellMar>
          <w:top w:w="0" w:type="dxa"/>
          <w:left w:w="0" w:type="dxa"/>
          <w:bottom w:w="0" w:type="dxa"/>
          <w:right w:w="0" w:type="dxa"/>
        </w:tblCellMar>
      </w:tblPr>
      <w:tr>
        <w:trPr>
          <w:trHeight w:val="209"/>
        </w:trPr>
        <w:tc>
          <w:tcPr>
            <w:tcW w:w="4020" w:type="dxa"/>
            <w:vAlign w:val="bottom"/>
          </w:tcPr>
          <w:p>
            <w:pPr>
              <w:jc w:val="center"/>
              <w:ind w:right="1854"/>
              <w:spacing w:after="0"/>
              <w:rPr>
                <w:sz w:val="20"/>
                <w:szCs w:val="20"/>
                <w:color w:val="auto"/>
              </w:rPr>
            </w:pPr>
            <w:r>
              <w:rPr>
                <w:rFonts w:ascii="Times New Roman" w:cs="Times New Roman" w:eastAsia="Times New Roman" w:hAnsi="Times New Roman"/>
                <w:sz w:val="17"/>
                <w:szCs w:val="17"/>
                <w:b w:val="1"/>
                <w:bCs w:val="1"/>
                <w:color w:val="auto"/>
              </w:rPr>
              <w:t>The Netherlands</w:t>
            </w:r>
          </w:p>
        </w:tc>
        <w:tc>
          <w:tcPr>
            <w:tcW w:w="3520" w:type="dxa"/>
            <w:vAlign w:val="bottom"/>
          </w:tcPr>
          <w:p>
            <w:pPr>
              <w:jc w:val="center"/>
              <w:ind w:left="1854"/>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207"/>
        </w:trPr>
        <w:tc>
          <w:tcPr>
            <w:tcW w:w="4020" w:type="dxa"/>
            <w:vAlign w:val="bottom"/>
          </w:tcPr>
          <w:p>
            <w:pPr>
              <w:jc w:val="center"/>
              <w:ind w:right="1854"/>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520" w:type="dxa"/>
            <w:vAlign w:val="bottom"/>
          </w:tcPr>
          <w:p>
            <w:pPr>
              <w:jc w:val="center"/>
              <w:ind w:left="1854"/>
              <w:spacing w:after="0"/>
              <w:rPr>
                <w:sz w:val="20"/>
                <w:szCs w:val="20"/>
                <w:color w:val="auto"/>
              </w:rPr>
            </w:pPr>
            <w:r>
              <w:rPr>
                <w:rFonts w:ascii="Times New Roman" w:cs="Times New Roman" w:eastAsia="Times New Roman" w:hAnsi="Times New Roman"/>
                <w:sz w:val="17"/>
                <w:szCs w:val="17"/>
                <w:color w:val="auto"/>
              </w:rPr>
              <w:t>(I.R.S. Employer</w:t>
            </w:r>
          </w:p>
        </w:tc>
      </w:tr>
      <w:tr>
        <w:trPr>
          <w:trHeight w:val="226"/>
        </w:trPr>
        <w:tc>
          <w:tcPr>
            <w:tcW w:w="4020" w:type="dxa"/>
            <w:vAlign w:val="bottom"/>
          </w:tcPr>
          <w:p>
            <w:pPr>
              <w:jc w:val="center"/>
              <w:ind w:right="1854"/>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520" w:type="dxa"/>
            <w:vAlign w:val="bottom"/>
          </w:tcPr>
          <w:p>
            <w:pPr>
              <w:jc w:val="center"/>
              <w:ind w:left="1854"/>
              <w:spacing w:after="0"/>
              <w:rPr>
                <w:sz w:val="20"/>
                <w:szCs w:val="20"/>
                <w:color w:val="auto"/>
              </w:rPr>
            </w:pPr>
            <w:r>
              <w:rPr>
                <w:rFonts w:ascii="Times New Roman" w:cs="Times New Roman" w:eastAsia="Times New Roman" w:hAnsi="Times New Roman"/>
                <w:sz w:val="17"/>
                <w:szCs w:val="17"/>
                <w:color w:val="auto"/>
              </w:rPr>
              <w:t>Identification Number)</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Laarderhoogtweg 25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1101 EB Amsterdam, the Netherlands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argenx Equity Incentive Plan, as amended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(Full title of the plan)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CT Corporation System</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111 Eighth Avenue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10011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 (212) 894-8940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Pamela L. Marcogliese, Esq.</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Erik F. Gerding,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Freshfields US LLP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3 World Trade Center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175 Greenwich Street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10007</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(212) 277-4000</w:t>
      </w:r>
    </w:p>
    <w:p>
      <w:pPr>
        <w:spacing w:after="0" w:line="200" w:lineRule="exact"/>
        <w:rPr>
          <w:sz w:val="24"/>
          <w:szCs w:val="24"/>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860" w:type="dxa"/>
            <w:vAlign w:val="bottom"/>
          </w:tcPr>
          <w:p>
            <w:pPr>
              <w:ind w:left="1560"/>
              <w:spacing w:after="0" w:line="171" w:lineRule="exact"/>
              <w:rPr>
                <w:sz w:val="20"/>
                <w:szCs w:val="20"/>
                <w:color w:val="auto"/>
              </w:rPr>
            </w:pPr>
            <w:r>
              <w:rPr>
                <w:rFonts w:ascii="MS PGothic" w:cs="MS PGothic" w:eastAsia="MS PGothic" w:hAnsi="MS PGothic"/>
                <w:sz w:val="17"/>
                <w:szCs w:val="17"/>
                <w:color w:val="auto"/>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2060" w:type="dxa"/>
            <w:vAlign w:val="bottom"/>
          </w:tcPr>
          <w:p>
            <w:pPr>
              <w:ind w:left="19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7"/>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860" w:type="dxa"/>
            <w:vAlign w:val="bottom"/>
          </w:tcPr>
          <w:p>
            <w:pPr>
              <w:ind w:left="1560"/>
              <w:spacing w:after="0" w:line="171" w:lineRule="exact"/>
              <w:rPr>
                <w:sz w:val="20"/>
                <w:szCs w:val="20"/>
                <w:color w:val="auto"/>
              </w:rPr>
            </w:pPr>
            <w:r>
              <w:rPr>
                <w:rFonts w:ascii="MS PGothic" w:cs="MS PGothic" w:eastAsia="MS PGothic" w:hAnsi="MS PGothic"/>
                <w:sz w:val="17"/>
                <w:szCs w:val="17"/>
                <w:color w:val="auto"/>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060" w:type="dxa"/>
            <w:vAlign w:val="bottom"/>
          </w:tcPr>
          <w:p>
            <w:pPr>
              <w:ind w:left="19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3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2060" w:type="dxa"/>
            <w:vAlign w:val="bottom"/>
          </w:tcPr>
          <w:p>
            <w:pPr>
              <w:ind w:left="19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ind w:right="440"/>
        <w:spacing w:after="0" w:line="262"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180975</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608965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Registration Statement on Form S-8 registers additional ordinary shares under the Registrant’s Equity Incentive Plan, as amended.</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21" w:lineRule="exact"/>
        <w:rPr>
          <w:sz w:val="20"/>
          <w:szCs w:val="20"/>
          <w:color w:val="auto"/>
        </w:rPr>
      </w:pPr>
    </w:p>
    <w:p>
      <w:pPr>
        <w:ind w:right="60" w:firstLine="622"/>
        <w:spacing w:after="0" w:line="273" w:lineRule="auto"/>
        <w:rPr>
          <w:sz w:val="20"/>
          <w:szCs w:val="20"/>
          <w:color w:val="auto"/>
        </w:rPr>
      </w:pPr>
      <w:r>
        <w:rPr>
          <w:rFonts w:ascii="Times New Roman" w:cs="Times New Roman" w:eastAsia="Times New Roman" w:hAnsi="Times New Roman"/>
          <w:sz w:val="17"/>
          <w:szCs w:val="17"/>
          <w:color w:val="auto"/>
        </w:rPr>
        <w:t>The information specified in Part I of Form S-8 is omitted from this Registration Statement in accordance with the provisions of Rule 424 under the Securities Act and the introductory note to Part I of this Registration Statement. The documents containing the information specified in Part I of Form S-8 will be delivered to the participants in the plans covered by this Registration Statement as specified by Rule 428(b)(1) under the Securities Act.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17" w:lineRule="exact"/>
        <w:rPr>
          <w:sz w:val="20"/>
          <w:szCs w:val="20"/>
          <w:color w:val="auto"/>
        </w:rPr>
      </w:pPr>
    </w:p>
    <w:p>
      <w:pPr>
        <w:ind w:right="880" w:firstLine="622"/>
        <w:spacing w:after="0" w:line="296" w:lineRule="auto"/>
        <w:rPr>
          <w:sz w:val="20"/>
          <w:szCs w:val="20"/>
          <w:color w:val="auto"/>
        </w:rPr>
      </w:pPr>
      <w:r>
        <w:rPr>
          <w:rFonts w:ascii="Times New Roman" w:cs="Times New Roman" w:eastAsia="Times New Roman" w:hAnsi="Times New Roman"/>
          <w:sz w:val="17"/>
          <w:szCs w:val="17"/>
          <w:color w:val="auto"/>
        </w:rPr>
        <w:t>The following documents filed by argenx SE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with the U.S.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are incorporated by reference into this Registration Statement:</w:t>
      </w:r>
    </w:p>
    <w:p>
      <w:pPr>
        <w:spacing w:after="0" w:line="143" w:lineRule="exact"/>
        <w:rPr>
          <w:sz w:val="20"/>
          <w:szCs w:val="20"/>
          <w:color w:val="auto"/>
        </w:rPr>
      </w:pPr>
    </w:p>
    <w:p>
      <w:pPr>
        <w:ind w:right="60" w:firstLine="625"/>
        <w:spacing w:after="0" w:line="291" w:lineRule="auto"/>
        <w:tabs>
          <w:tab w:leader="none" w:pos="856" w:val="left"/>
        </w:tabs>
        <w:numPr>
          <w:ilvl w:val="0"/>
          <w:numId w:val="1"/>
        </w:numPr>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u w:val="single" w:color="auto"/>
            <w:color w:val="0000EE"/>
          </w:rPr>
          <w:t>The Registrant’s Annual Report on Form 20-F for the year ended December 31, 2024, filed with the Commission on March 20,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which contains</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audited financial statements for the Registrant’s latest fiscal year for which such statements have been filed;</w:t>
      </w:r>
    </w:p>
    <w:p>
      <w:pPr>
        <w:spacing w:after="0" w:line="147" w:lineRule="exact"/>
        <w:rPr>
          <w:rFonts w:ascii="Times New Roman" w:cs="Times New Roman" w:eastAsia="Times New Roman" w:hAnsi="Times New Roman"/>
          <w:sz w:val="17"/>
          <w:szCs w:val="17"/>
          <w:color w:val="0000EE"/>
        </w:rPr>
      </w:pPr>
    </w:p>
    <w:p>
      <w:pPr>
        <w:ind w:firstLine="625"/>
        <w:spacing w:after="0" w:line="266" w:lineRule="auto"/>
        <w:tabs>
          <w:tab w:leader="none" w:pos="866" w:val="left"/>
        </w:tabs>
        <w:numPr>
          <w:ilvl w:val="0"/>
          <w:numId w:val="1"/>
        </w:numPr>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auto"/>
          </w:rPr>
          <w:t xml:space="preserve">The Registrant’s reports on Form 6-K furnished to the Commission on </w:t>
        </w:r>
        <w:r>
          <w:rPr>
            <w:rFonts w:ascii="Times New Roman" w:cs="Times New Roman" w:eastAsia="Times New Roman" w:hAnsi="Times New Roman"/>
            <w:sz w:val="17"/>
            <w:szCs w:val="17"/>
            <w:u w:val="single" w:color="auto"/>
            <w:color w:val="0000EE"/>
          </w:rPr>
          <w:t>January 13,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27,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7,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20,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 8,</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5">
        <w:r>
          <w:rPr>
            <w:rFonts w:ascii="Times New Roman" w:cs="Times New Roman" w:eastAsia="Times New Roman" w:hAnsi="Times New Roman"/>
            <w:sz w:val="17"/>
            <w:szCs w:val="17"/>
            <w:u w:val="single" w:color="auto"/>
            <w:color w:val="0000EE"/>
          </w:rPr>
          <w:t>April 11,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6">
        <w:r>
          <w:rPr>
            <w:rFonts w:ascii="Times New Roman" w:cs="Times New Roman" w:eastAsia="Times New Roman" w:hAnsi="Times New Roman"/>
            <w:sz w:val="17"/>
            <w:szCs w:val="17"/>
            <w:u w:val="single" w:color="auto"/>
            <w:color w:val="0000EE"/>
          </w:rPr>
          <w:t>April 14,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7">
        <w:r>
          <w:rPr>
            <w:rFonts w:ascii="Times New Roman" w:cs="Times New Roman" w:eastAsia="Times New Roman" w:hAnsi="Times New Roman"/>
            <w:sz w:val="17"/>
            <w:szCs w:val="17"/>
            <w:u w:val="single" w:color="auto"/>
            <w:color w:val="0000EE"/>
          </w:rPr>
          <w:t>April 28,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8">
        <w:r>
          <w:rPr>
            <w:rFonts w:ascii="Times New Roman" w:cs="Times New Roman" w:eastAsia="Times New Roman" w:hAnsi="Times New Roman"/>
            <w:sz w:val="17"/>
            <w:szCs w:val="17"/>
            <w:u w:val="single" w:color="auto"/>
            <w:color w:val="0000EE"/>
          </w:rPr>
          <w:t>May 8,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9">
        <w:r>
          <w:rPr>
            <w:rFonts w:ascii="Times New Roman" w:cs="Times New Roman" w:eastAsia="Times New Roman" w:hAnsi="Times New Roman"/>
            <w:sz w:val="17"/>
            <w:szCs w:val="17"/>
            <w:u w:val="single" w:color="auto"/>
            <w:color w:val="0000EE"/>
          </w:rPr>
          <w:t>May 28,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0">
        <w:r>
          <w:rPr>
            <w:rFonts w:ascii="Times New Roman" w:cs="Times New Roman" w:eastAsia="Times New Roman" w:hAnsi="Times New Roman"/>
            <w:sz w:val="17"/>
            <w:szCs w:val="17"/>
            <w:u w:val="single" w:color="auto"/>
            <w:color w:val="0000EE"/>
          </w:rPr>
          <w:t>June 11,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1">
        <w:r>
          <w:rPr>
            <w:rFonts w:ascii="Times New Roman" w:cs="Times New Roman" w:eastAsia="Times New Roman" w:hAnsi="Times New Roman"/>
            <w:sz w:val="17"/>
            <w:szCs w:val="17"/>
            <w:u w:val="single" w:color="auto"/>
            <w:color w:val="0000EE"/>
          </w:rPr>
          <w:t>June 20,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2">
        <w:r>
          <w:rPr>
            <w:rFonts w:ascii="Times New Roman" w:cs="Times New Roman" w:eastAsia="Times New Roman" w:hAnsi="Times New Roman"/>
            <w:sz w:val="17"/>
            <w:szCs w:val="17"/>
            <w:u w:val="single" w:color="auto"/>
            <w:color w:val="0000EE"/>
          </w:rPr>
          <w:t>June 30,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3">
        <w:r>
          <w:rPr>
            <w:rFonts w:ascii="Times New Roman" w:cs="Times New Roman" w:eastAsia="Times New Roman" w:hAnsi="Times New Roman"/>
            <w:sz w:val="17"/>
            <w:szCs w:val="17"/>
            <w:u w:val="single" w:color="auto"/>
            <w:color w:val="0000EE"/>
          </w:rPr>
          <w:t>July 31, 2025</w:t>
        </w:r>
      </w:hyperlink>
      <w:hyperlink r:id="rId14">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4">
        <w:r>
          <w:rPr>
            <w:rFonts w:ascii="Times New Roman" w:cs="Times New Roman" w:eastAsia="Times New Roman" w:hAnsi="Times New Roman"/>
            <w:sz w:val="17"/>
            <w:szCs w:val="17"/>
            <w:u w:val="single" w:color="auto"/>
            <w:color w:val="0000EE"/>
          </w:rPr>
          <w:t>August 25, 2025</w:t>
        </w:r>
      </w:hyperlink>
      <w:hyperlink r:id="rId14">
        <w:r>
          <w:rPr>
            <w:rFonts w:ascii="Times New Roman" w:cs="Times New Roman" w:eastAsia="Times New Roman" w:hAnsi="Times New Roman"/>
            <w:sz w:val="17"/>
            <w:szCs w:val="17"/>
            <w:color w:val="000000"/>
          </w:rPr>
          <w:t>,</w:t>
        </w:r>
      </w:hyperlink>
      <w:r>
        <w:rPr>
          <w:rFonts w:ascii="Times New Roman" w:cs="Times New Roman" w:eastAsia="Times New Roman" w:hAnsi="Times New Roman"/>
          <w:sz w:val="17"/>
          <w:szCs w:val="17"/>
          <w:color w:val="0000EE"/>
        </w:rPr>
        <w:t xml:space="preserve"> </w:t>
      </w:r>
      <w:hyperlink r:id="rId25">
        <w:r>
          <w:rPr>
            <w:rFonts w:ascii="Times New Roman" w:cs="Times New Roman" w:eastAsia="Times New Roman" w:hAnsi="Times New Roman"/>
            <w:sz w:val="17"/>
            <w:szCs w:val="17"/>
            <w:u w:val="single" w:color="auto"/>
            <w:color w:val="0000EE"/>
          </w:rPr>
          <w:t>October 3,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26">
        <w:r>
          <w:rPr>
            <w:rFonts w:ascii="Times New Roman" w:cs="Times New Roman" w:eastAsia="Times New Roman" w:hAnsi="Times New Roman"/>
            <w:sz w:val="17"/>
            <w:szCs w:val="17"/>
            <w:u w:val="single" w:color="auto"/>
            <w:color w:val="0000EE"/>
          </w:rPr>
          <w:t>October 15,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27">
        <w:r>
          <w:rPr>
            <w:rFonts w:ascii="Times New Roman" w:cs="Times New Roman" w:eastAsia="Times New Roman" w:hAnsi="Times New Roman"/>
            <w:sz w:val="17"/>
            <w:szCs w:val="17"/>
            <w:u w:val="single" w:color="auto"/>
            <w:color w:val="0000EE"/>
          </w:rPr>
          <w:t>October 29,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28">
        <w:r>
          <w:rPr>
            <w:rFonts w:ascii="Times New Roman" w:cs="Times New Roman" w:eastAsia="Times New Roman" w:hAnsi="Times New Roman"/>
            <w:sz w:val="17"/>
            <w:szCs w:val="17"/>
            <w:u w:val="single" w:color="auto"/>
            <w:color w:val="0000EE"/>
          </w:rPr>
          <w:t>October 30,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29">
        <w:r>
          <w:rPr>
            <w:rFonts w:ascii="Times New Roman" w:cs="Times New Roman" w:eastAsia="Times New Roman" w:hAnsi="Times New Roman"/>
            <w:sz w:val="17"/>
            <w:szCs w:val="17"/>
            <w:u w:val="single" w:color="auto"/>
            <w:color w:val="0000EE"/>
          </w:rPr>
          <w:t xml:space="preserve">November 18, 2025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30">
        <w:r>
          <w:rPr>
            <w:rFonts w:ascii="Times New Roman" w:cs="Times New Roman" w:eastAsia="Times New Roman" w:hAnsi="Times New Roman"/>
            <w:sz w:val="17"/>
            <w:szCs w:val="17"/>
            <w:u w:val="single" w:color="auto"/>
            <w:color w:val="0000EE"/>
          </w:rPr>
          <w:t xml:space="preserve">December 15, 2025 </w:t>
        </w:r>
      </w:hyperlink>
      <w:r>
        <w:rPr>
          <w:rFonts w:ascii="Times New Roman" w:cs="Times New Roman" w:eastAsia="Times New Roman" w:hAnsi="Times New Roman"/>
          <w:sz w:val="17"/>
          <w:szCs w:val="17"/>
          <w:color w:val="000000"/>
        </w:rPr>
        <w:t>(other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than portions of each of the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foregoing expressly excluded from incorporation by reference); and</w:t>
      </w:r>
    </w:p>
    <w:p>
      <w:pPr>
        <w:spacing w:after="0" w:line="169" w:lineRule="exact"/>
        <w:rPr>
          <w:rFonts w:ascii="Times New Roman" w:cs="Times New Roman" w:eastAsia="Times New Roman" w:hAnsi="Times New Roman"/>
          <w:sz w:val="17"/>
          <w:szCs w:val="17"/>
          <w:color w:val="0000EE"/>
        </w:rPr>
      </w:pPr>
    </w:p>
    <w:p>
      <w:pPr>
        <w:ind w:right="40" w:firstLine="625"/>
        <w:spacing w:after="0" w:line="273" w:lineRule="auto"/>
        <w:tabs>
          <w:tab w:leader="none" w:pos="856" w:val="left"/>
        </w:tabs>
        <w:numPr>
          <w:ilvl w:val="0"/>
          <w:numId w:val="1"/>
        </w:numPr>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u w:val="single" w:color="auto"/>
            <w:color w:val="0000EE"/>
          </w:rPr>
          <w:t>The description of the Registrant’s Ordinary Shares and American Depositary Shares contained in the Registrant’s Registration Statement on Form 8-</w:t>
        </w:r>
      </w:hyperlink>
      <w:hyperlink r:id="rId31">
        <w:r>
          <w:rPr>
            <w:rFonts w:ascii="Times New Roman" w:cs="Times New Roman" w:eastAsia="Times New Roman" w:hAnsi="Times New Roman"/>
            <w:sz w:val="17"/>
            <w:szCs w:val="17"/>
            <w:u w:val="single" w:color="auto"/>
            <w:color w:val="0000EE"/>
          </w:rPr>
          <w:t>A filed with the Commission under Section 12(b) of the Securities Exchange Act of 1934, as amended (the “</w:t>
        </w:r>
        <w:r>
          <w:rPr>
            <w:rFonts w:ascii="Times New Roman" w:cs="Times New Roman" w:eastAsia="Times New Roman" w:hAnsi="Times New Roman"/>
            <w:sz w:val="17"/>
            <w:szCs w:val="17"/>
            <w:b w:val="1"/>
            <w:bCs w:val="1"/>
            <w:i w:val="1"/>
            <w:iCs w:val="1"/>
            <w:u w:val="single" w:color="auto"/>
            <w:color w:val="0000EE"/>
          </w:rPr>
          <w:t>Exchange Act</w:t>
        </w:r>
        <w:r>
          <w:rPr>
            <w:rFonts w:ascii="Times New Roman" w:cs="Times New Roman" w:eastAsia="Times New Roman" w:hAnsi="Times New Roman"/>
            <w:sz w:val="17"/>
            <w:szCs w:val="17"/>
            <w:u w:val="single" w:color="auto"/>
            <w:color w:val="0000EE"/>
          </w:rPr>
          <w:t>”) on May 16, 2017 (File No. 001-</w:t>
        </w:r>
      </w:hyperlink>
      <w:hyperlink r:id="rId31">
        <w:r>
          <w:rPr>
            <w:rFonts w:ascii="Times New Roman" w:cs="Times New Roman" w:eastAsia="Times New Roman" w:hAnsi="Times New Roman"/>
            <w:sz w:val="17"/>
            <w:szCs w:val="17"/>
            <w:u w:val="single" w:color="auto"/>
            <w:color w:val="0000EE"/>
          </w:rPr>
          <w:t>38097), including any amendment or report filed for the purpose of updating such description</w:t>
        </w:r>
        <w:r>
          <w:rPr>
            <w:rFonts w:ascii="Times New Roman" w:cs="Times New Roman" w:eastAsia="Times New Roman" w:hAnsi="Times New Roman"/>
            <w:sz w:val="17"/>
            <w:szCs w:val="17"/>
            <w:color w:val="000000"/>
          </w:rPr>
          <w:t>.</w:t>
        </w:r>
      </w:hyperlink>
    </w:p>
    <w:p>
      <w:pPr>
        <w:spacing w:after="0" w:line="162" w:lineRule="exact"/>
        <w:rPr>
          <w:rFonts w:ascii="Times New Roman" w:cs="Times New Roman" w:eastAsia="Times New Roman" w:hAnsi="Times New Roman"/>
          <w:sz w:val="17"/>
          <w:szCs w:val="17"/>
          <w:u w:val="single" w:color="auto"/>
          <w:color w:val="0000EE"/>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All other reports and documents subsequently filed by the Registrant pursuant to Sections 13(a), 13(c), 14 and 15(d) of the Exchange Act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report on Form 6-K furnished by the Registrant to the Commission after the date of this Registration Statement (or a portion thereof) is incorporated by reference in this Registration Statement only to the extent that the report expressly states that the Registrant incorporates it (or such portions) by reference in this Registration Statement and it is not subsequently superseded.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404495</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221"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Under Dutch law, the Registrant’s board of directors and certain other officers may be held liable for damages in the event of improper or negligent performance of their duties. They may be held jointly and severally liable for damages to the Registrant and to third parties for infringement of the Articles of Association or of certain provisions of the Dutch Civil Code. In certain circumstances, they may also incur additional specific civil and criminal liabilities. Directors and certain other officers are insured under an insurance policy taken out by the Registrant against damages resulting from their conduct when acting in the capacities as such directors or officers. In addition, the Registrant’s Articles of Association provide for indemnification of our (former) directors and (former) officers, including reimbursement for legal fees and damages or fines based on acts or failures to act in their duties. No indemnification shall be given to a member of the Registrant’s board of directors in relation to claims insofar as they relate to the gaining in fact of personal profits, advantages or remuneration to which the relevant person was not legally entitled, or if the relevant person has been adjudged to be liable for willful misconduct or intentional recklessness. Such indemnification shall be deemed not to preclude any other rights to which those indemnified may be entitled otherwise.</w:t>
      </w:r>
    </w:p>
    <w:p>
      <w:pPr>
        <w:spacing w:after="0" w:line="173" w:lineRule="exact"/>
        <w:rPr>
          <w:sz w:val="20"/>
          <w:szCs w:val="20"/>
          <w:color w:val="auto"/>
        </w:rPr>
      </w:pPr>
    </w:p>
    <w:p>
      <w:pPr>
        <w:ind w:right="440" w:firstLine="622"/>
        <w:spacing w:after="0" w:line="291"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each of the Registrant’s non-executive directors and each member of its executive management.</w:t>
      </w:r>
    </w:p>
    <w:p>
      <w:pPr>
        <w:spacing w:after="0" w:line="148"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In the underwriting agreements the Registrant entered into in connection with its May 2017 initial U.S. public offering and each of its December 2017, September 2018, November 2019, May 2020, February 2021, March 2022 and July 2023 U.S. follow-on offerings, the underwriters agreed to indemnify, under certain conditions, the Registrant, the members of the Registrant’s board of directors and persons who control the Registrant within the meaning of the Securities Act against certain liabilities, but only to the extent that such liabilities are caused by information relating to the underwriters furnished to the Registrant in writing expressly for use in the Registrant’s registration statement and certain other disclosure documents.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21" w:lineRule="exact"/>
        <w:rPr>
          <w:sz w:val="20"/>
          <w:szCs w:val="20"/>
          <w:color w:val="auto"/>
        </w:rPr>
      </w:pPr>
    </w:p>
    <w:p>
      <w:pPr>
        <w:ind w:right="140" w:firstLine="622"/>
        <w:spacing w:after="0" w:line="291" w:lineRule="auto"/>
        <w:rPr>
          <w:sz w:val="20"/>
          <w:szCs w:val="20"/>
          <w:color w:val="auto"/>
        </w:rPr>
      </w:pPr>
      <w:r>
        <w:rPr>
          <w:rFonts w:ascii="Times New Roman" w:cs="Times New Roman" w:eastAsia="Times New Roman" w:hAnsi="Times New Roman"/>
          <w:sz w:val="17"/>
          <w:szCs w:val="17"/>
          <w:color w:val="auto"/>
        </w:rPr>
        <w:t>See the Exhibit Index below for a list of exhibits filed as a part of, or incorporated by reference into, this Registration Statement, which Exhibit Index is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221" w:lineRule="exact"/>
        <w:rPr>
          <w:sz w:val="20"/>
          <w:szCs w:val="20"/>
          <w:color w:val="auto"/>
        </w:rPr>
      </w:pPr>
    </w:p>
    <w:p>
      <w:pPr>
        <w:ind w:left="800" w:hanging="175"/>
        <w:spacing w:after="0"/>
        <w:tabs>
          <w:tab w:leader="none" w:pos="8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18" w:lineRule="exact"/>
        <w:rPr>
          <w:rFonts w:ascii="Times New Roman" w:cs="Times New Roman" w:eastAsia="Times New Roman" w:hAnsi="Times New Roman"/>
          <w:sz w:val="17"/>
          <w:szCs w:val="17"/>
          <w:color w:val="auto"/>
        </w:rPr>
      </w:pPr>
    </w:p>
    <w:p>
      <w:pPr>
        <w:ind w:left="1480" w:hanging="233"/>
        <w:spacing w:after="0"/>
        <w:tabs>
          <w:tab w:leader="none" w:pos="148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18" w:lineRule="exact"/>
        <w:rPr>
          <w:rFonts w:ascii="Times New Roman" w:cs="Times New Roman" w:eastAsia="Times New Roman" w:hAnsi="Times New Roman"/>
          <w:sz w:val="17"/>
          <w:szCs w:val="17"/>
          <w:color w:val="auto"/>
        </w:rPr>
      </w:pPr>
    </w:p>
    <w:p>
      <w:pPr>
        <w:ind w:left="2080" w:hanging="212"/>
        <w:spacing w:after="0"/>
        <w:tabs>
          <w:tab w:leader="none" w:pos="20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18" w:lineRule="exact"/>
        <w:rPr>
          <w:rFonts w:ascii="Times New Roman" w:cs="Times New Roman" w:eastAsia="Times New Roman" w:hAnsi="Times New Roman"/>
          <w:sz w:val="17"/>
          <w:szCs w:val="17"/>
          <w:color w:val="auto"/>
        </w:rPr>
      </w:pPr>
    </w:p>
    <w:p>
      <w:pPr>
        <w:ind w:left="1240" w:right="60" w:firstLine="628"/>
        <w:spacing w:after="0" w:line="260" w:lineRule="auto"/>
        <w:tabs>
          <w:tab w:leader="none" w:pos="2113"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3" w:name="page4"/>
    <w:bookmarkEnd w:id="3"/>
    <w:p>
      <w:pPr>
        <w:ind w:left="1240" w:right="300" w:firstLine="1250"/>
        <w:spacing w:after="0" w:line="291" w:lineRule="auto"/>
        <w:tabs>
          <w:tab w:leader="none" w:pos="278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paragraphs (a)(i) and (a)(ii) do not apply if the information required to be included in a post-effective amendment by those paragraphs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contained in reports filed with or furnished to the Commission by the Registrant pursuant to section 13 or section 15(d) of the Exchange Act that are incorporated by reference in the registration statement.</w:t>
      </w:r>
    </w:p>
    <w:p>
      <w:pPr>
        <w:spacing w:after="0" w:line="161" w:lineRule="exact"/>
        <w:rPr>
          <w:sz w:val="20"/>
          <w:szCs w:val="20"/>
          <w:color w:val="auto"/>
        </w:rPr>
      </w:pPr>
    </w:p>
    <w:p>
      <w:pPr>
        <w:ind w:right="80" w:firstLine="1247"/>
        <w:spacing w:after="0" w:line="273" w:lineRule="auto"/>
        <w:tabs>
          <w:tab w:leader="none" w:pos="148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7"/>
          <w:szCs w:val="17"/>
          <w:color w:val="auto"/>
        </w:rPr>
      </w:pPr>
    </w:p>
    <w:p>
      <w:pPr>
        <w:ind w:right="480" w:firstLine="1247"/>
        <w:spacing w:after="0" w:line="291" w:lineRule="auto"/>
        <w:tabs>
          <w:tab w:leader="none" w:pos="147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7" w:lineRule="exact"/>
        <w:rPr>
          <w:rFonts w:ascii="Times New Roman" w:cs="Times New Roman" w:eastAsia="Times New Roman" w:hAnsi="Times New Roman"/>
          <w:sz w:val="17"/>
          <w:szCs w:val="17"/>
          <w:color w:val="auto"/>
        </w:rPr>
      </w:pPr>
    </w:p>
    <w:p>
      <w:pPr>
        <w:ind w:right="200" w:firstLine="625"/>
        <w:spacing w:after="0" w:line="266" w:lineRule="auto"/>
        <w:tabs>
          <w:tab w:leader="none" w:pos="7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9" w:lineRule="exact"/>
        <w:rPr>
          <w:rFonts w:ascii="Times New Roman" w:cs="Times New Roman" w:eastAsia="Times New Roman" w:hAnsi="Times New Roman"/>
          <w:sz w:val="17"/>
          <w:szCs w:val="17"/>
          <w:color w:val="auto"/>
        </w:rPr>
      </w:pPr>
    </w:p>
    <w:p>
      <w:pPr>
        <w:ind w:firstLine="625"/>
        <w:spacing w:after="0" w:line="260" w:lineRule="auto"/>
        <w:tabs>
          <w:tab w:leader="none" w:pos="7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32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94"/>
        </w:trPr>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28"/>
        </w:trPr>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1"/>
        </w:trPr>
        <w:tc>
          <w:tcPr>
            <w:tcW w:w="20" w:type="dxa"/>
            <w:vAlign w:val="bottom"/>
            <w:tcBorders>
              <w:bottom w:val="single" w:sz="8" w:color="0000EE"/>
            </w:tcBorders>
          </w:tcPr>
          <w:p>
            <w:pPr>
              <w:spacing w:after="0"/>
              <w:rPr>
                <w:sz w:val="14"/>
                <w:szCs w:val="14"/>
                <w:color w:val="auto"/>
              </w:rPr>
            </w:pPr>
          </w:p>
        </w:tc>
        <w:tc>
          <w:tcPr>
            <w:tcW w:w="400" w:type="dxa"/>
            <w:vAlign w:val="bottom"/>
            <w:tcBorders>
              <w:top w:val="single" w:sz="8" w:color="auto"/>
              <w:bottom w:val="single" w:sz="8" w:color="0000EE"/>
            </w:tcBorders>
            <w:gridSpan w:val="3"/>
          </w:tcPr>
          <w:p>
            <w:pPr>
              <w:spacing w:after="0" w:line="162" w:lineRule="exact"/>
              <w:rPr>
                <w:rFonts w:ascii="Times New Roman" w:cs="Times New Roman" w:eastAsia="Times New Roman" w:hAnsi="Times New Roman"/>
                <w:sz w:val="17"/>
                <w:szCs w:val="17"/>
                <w:color w:val="0000EE"/>
                <w:w w:val="92"/>
              </w:rPr>
            </w:pPr>
            <w:hyperlink r:id="rId35">
              <w:r>
                <w:rPr>
                  <w:rFonts w:ascii="Times New Roman" w:cs="Times New Roman" w:eastAsia="Times New Roman" w:hAnsi="Times New Roman"/>
                  <w:sz w:val="17"/>
                  <w:szCs w:val="17"/>
                  <w:color w:val="0000EE"/>
                  <w:w w:val="92"/>
                </w:rPr>
                <w:t>4.</w:t>
              </w:r>
              <w:r>
                <w:rPr>
                  <w:rFonts w:ascii="Times New Roman" w:cs="Times New Roman" w:eastAsia="Times New Roman" w:hAnsi="Times New Roman"/>
                  <w:sz w:val="17"/>
                  <w:szCs w:val="17"/>
                  <w:u w:val="single" w:color="auto"/>
                  <w:color w:val="0000EE"/>
                  <w:w w:val="92"/>
                </w:rPr>
                <w:t>1(1)</w:t>
              </w:r>
            </w:hyperlink>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0" w:type="dxa"/>
            <w:vAlign w:val="bottom"/>
            <w:tcBorders>
              <w:top w:val="single" w:sz="8" w:color="auto"/>
              <w:bottom w:val="single" w:sz="8" w:color="0000EE"/>
            </w:tcBorders>
            <w:gridSpan w:val="6"/>
          </w:tcPr>
          <w:p>
            <w:pPr>
              <w:spacing w:after="0" w:line="162" w:lineRule="exact"/>
              <w:rPr>
                <w:rFonts w:ascii="Times New Roman" w:cs="Times New Roman" w:eastAsia="Times New Roman" w:hAnsi="Times New Roman"/>
                <w:sz w:val="17"/>
                <w:szCs w:val="17"/>
                <w:color w:val="0000EE"/>
              </w:rPr>
            </w:pPr>
            <w:hyperlink r:id="rId35">
              <w:r>
                <w:rPr>
                  <w:rFonts w:ascii="Times New Roman" w:cs="Times New Roman" w:eastAsia="Times New Roman" w:hAnsi="Times New Roman"/>
                  <w:sz w:val="17"/>
                  <w:szCs w:val="17"/>
                  <w:color w:val="0000EE"/>
                </w:rPr>
                <w:t>Articles of Association, as amended (English translation).</w:t>
              </w:r>
            </w:hyperlink>
          </w:p>
        </w:tc>
        <w:tc>
          <w:tcPr>
            <w:tcW w:w="5920" w:type="dxa"/>
            <w:vAlign w:val="bottom"/>
            <w:tcBorders>
              <w:top w:val="single" w:sz="8" w:color="auto"/>
            </w:tcBorders>
            <w:gridSpan w:val="3"/>
          </w:tcPr>
          <w:p>
            <w:pPr>
              <w:spacing w:after="0"/>
              <w:rPr>
                <w:sz w:val="14"/>
                <w:szCs w:val="14"/>
                <w:color w:val="auto"/>
              </w:rPr>
            </w:pPr>
          </w:p>
        </w:tc>
      </w:tr>
      <w:tr>
        <w:trPr>
          <w:trHeight w:val="187"/>
        </w:trPr>
        <w:tc>
          <w:tcPr>
            <w:tcW w:w="420" w:type="dxa"/>
            <w:vAlign w:val="bottom"/>
            <w:gridSpan w:val="4"/>
          </w:tcPr>
          <w:p>
            <w:pPr>
              <w:spacing w:after="0" w:line="187" w:lineRule="exact"/>
              <w:rPr>
                <w:rFonts w:ascii="Times New Roman" w:cs="Times New Roman" w:eastAsia="Times New Roman" w:hAnsi="Times New Roman"/>
                <w:sz w:val="17"/>
                <w:szCs w:val="17"/>
                <w:color w:val="0000EE"/>
                <w:w w:val="97"/>
              </w:rPr>
            </w:pPr>
            <w:hyperlink r:id="rId36">
              <w:r>
                <w:rPr>
                  <w:rFonts w:ascii="Times New Roman" w:cs="Times New Roman" w:eastAsia="Times New Roman" w:hAnsi="Times New Roman"/>
                  <w:sz w:val="17"/>
                  <w:szCs w:val="17"/>
                  <w:color w:val="0000EE"/>
                  <w:w w:val="97"/>
                </w:rPr>
                <w:t>4.</w:t>
              </w:r>
              <w:r>
                <w:rPr>
                  <w:rFonts w:ascii="Times New Roman" w:cs="Times New Roman" w:eastAsia="Times New Roman" w:hAnsi="Times New Roman"/>
                  <w:sz w:val="17"/>
                  <w:szCs w:val="17"/>
                  <w:u w:val="single" w:color="auto"/>
                  <w:color w:val="0000EE"/>
                  <w:w w:val="97"/>
                </w:rPr>
                <w:t>2(2)</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gridSpan w:val="9"/>
          </w:tcPr>
          <w:p>
            <w:pPr>
              <w:spacing w:after="0" w:line="187" w:lineRule="exact"/>
              <w:rPr>
                <w:rFonts w:ascii="Times New Roman" w:cs="Times New Roman" w:eastAsia="Times New Roman" w:hAnsi="Times New Roman"/>
                <w:sz w:val="17"/>
                <w:szCs w:val="17"/>
                <w:color w:val="0000EE"/>
              </w:rPr>
            </w:pPr>
            <w:hyperlink r:id="rId36">
              <w:r>
                <w:rPr>
                  <w:rFonts w:ascii="Times New Roman" w:cs="Times New Roman" w:eastAsia="Times New Roman" w:hAnsi="Times New Roman"/>
                  <w:sz w:val="17"/>
                  <w:szCs w:val="17"/>
                  <w:color w:val="0000EE"/>
                </w:rPr>
                <w:t>Form of Deposit Agreement and Form of American Depositary Receipt.</w:t>
              </w:r>
            </w:hyperlink>
          </w:p>
        </w:tc>
      </w:tr>
      <w:tr>
        <w:trPr>
          <w:trHeight w:val="187"/>
        </w:trPr>
        <w:tc>
          <w:tcPr>
            <w:tcW w:w="300" w:type="dxa"/>
            <w:vAlign w:val="bottom"/>
            <w:tcBorders>
              <w:top w:val="single" w:sz="8" w:color="0000EE"/>
            </w:tcBorders>
            <w:gridSpan w:val="2"/>
          </w:tcPr>
          <w:p>
            <w:pPr>
              <w:spacing w:after="0" w:line="187" w:lineRule="exact"/>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1*</w:t>
            </w: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80" w:type="dxa"/>
            <w:vAlign w:val="bottom"/>
            <w:tcBorders>
              <w:top w:val="single" w:sz="8" w:color="0000EE"/>
            </w:tcBorders>
            <w:gridSpan w:val="8"/>
          </w:tcPr>
          <w:p>
            <w:pPr>
              <w:spacing w:after="0" w:line="187" w:lineRule="exact"/>
              <w:rPr>
                <w:sz w:val="20"/>
                <w:szCs w:val="20"/>
                <w:color w:val="auto"/>
              </w:rPr>
            </w:pPr>
            <w:r>
              <w:rPr>
                <w:rFonts w:ascii="Times New Roman" w:cs="Times New Roman" w:eastAsia="Times New Roman" w:hAnsi="Times New Roman"/>
                <w:sz w:val="17"/>
                <w:szCs w:val="17"/>
                <w:color w:val="0000EE"/>
              </w:rPr>
              <w:t>Opinion of Freshfields LLP.</w:t>
            </w:r>
          </w:p>
        </w:tc>
        <w:tc>
          <w:tcPr>
            <w:tcW w:w="4940" w:type="dxa"/>
            <w:vAlign w:val="bottom"/>
          </w:tcPr>
          <w:p>
            <w:pPr>
              <w:spacing w:after="0"/>
              <w:rPr>
                <w:sz w:val="16"/>
                <w:szCs w:val="16"/>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r>
      <w:tr>
        <w:trPr>
          <w:trHeight w:val="187"/>
        </w:trPr>
        <w:tc>
          <w:tcPr>
            <w:tcW w:w="40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gridSpan w:val="9"/>
          </w:tcPr>
          <w:p>
            <w:pPr>
              <w:spacing w:after="0" w:line="187" w:lineRule="exact"/>
              <w:rPr>
                <w:sz w:val="20"/>
                <w:szCs w:val="20"/>
                <w:color w:val="auto"/>
              </w:rPr>
            </w:pPr>
            <w:r>
              <w:rPr>
                <w:rFonts w:ascii="Times New Roman" w:cs="Times New Roman" w:eastAsia="Times New Roman" w:hAnsi="Times New Roman"/>
                <w:sz w:val="17"/>
                <w:szCs w:val="17"/>
                <w:color w:val="0000EE"/>
              </w:rPr>
              <w:t>Consent of Deloitte Accountants B.V.</w:t>
            </w:r>
          </w:p>
        </w:tc>
      </w:tr>
      <w:tr>
        <w:trPr>
          <w:trHeight w:val="20"/>
        </w:trPr>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r>
      <w:tr>
        <w:trPr>
          <w:trHeight w:val="187"/>
        </w:trPr>
        <w:tc>
          <w:tcPr>
            <w:tcW w:w="40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gridSpan w:val="9"/>
          </w:tcPr>
          <w:p>
            <w:pPr>
              <w:spacing w:after="0" w:line="187" w:lineRule="exact"/>
              <w:rPr>
                <w:sz w:val="20"/>
                <w:szCs w:val="20"/>
                <w:color w:val="auto"/>
              </w:rPr>
            </w:pPr>
            <w:r>
              <w:rPr>
                <w:rFonts w:ascii="Times New Roman" w:cs="Times New Roman" w:eastAsia="Times New Roman" w:hAnsi="Times New Roman"/>
                <w:sz w:val="17"/>
                <w:szCs w:val="17"/>
                <w:color w:val="0000EE"/>
              </w:rPr>
              <w:t>Consent of Freshfields LLP (included in Exhibit 5.1).</w:t>
            </w:r>
          </w:p>
        </w:tc>
      </w:tr>
      <w:tr>
        <w:trPr>
          <w:trHeight w:val="187"/>
        </w:trPr>
        <w:tc>
          <w:tcPr>
            <w:tcW w:w="400" w:type="dxa"/>
            <w:vAlign w:val="bottom"/>
            <w:tcBorders>
              <w:top w:val="single" w:sz="8" w:color="0000EE"/>
              <w:bottom w:val="single" w:sz="8" w:color="0000EE"/>
            </w:tcBorders>
            <w:gridSpan w:val="3"/>
          </w:tcPr>
          <w:p>
            <w:pPr>
              <w:spacing w:after="0" w:line="187" w:lineRule="exact"/>
              <w:rPr>
                <w:sz w:val="20"/>
                <w:szCs w:val="20"/>
                <w:color w:val="auto"/>
              </w:rPr>
            </w:pPr>
            <w:r>
              <w:rPr>
                <w:rFonts w:ascii="Times New Roman" w:cs="Times New Roman" w:eastAsia="Times New Roman" w:hAnsi="Times New Roman"/>
                <w:sz w:val="17"/>
                <w:szCs w:val="17"/>
                <w:color w:val="0000EE"/>
                <w:w w:val="93"/>
              </w:rPr>
              <w:t>24.</w:t>
            </w:r>
            <w:r>
              <w:rPr>
                <w:rFonts w:ascii="Times New Roman" w:cs="Times New Roman" w:eastAsia="Times New Roman" w:hAnsi="Times New Roman"/>
                <w:sz w:val="17"/>
                <w:szCs w:val="17"/>
                <w:u w:val="single" w:color="auto"/>
                <w:color w:val="0000EE"/>
                <w:w w:val="93"/>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top w:val="single" w:sz="8" w:color="0000EE"/>
              <w:bottom w:val="single" w:sz="8" w:color="0000EE"/>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EE"/>
              </w:rPr>
              <w:t>Power of Attorney (included on the signature page).</w:t>
            </w:r>
          </w:p>
        </w:tc>
        <w:tc>
          <w:tcPr>
            <w:tcW w:w="100" w:type="dxa"/>
            <w:vAlign w:val="bottom"/>
            <w:tcBorders>
              <w:top w:val="single" w:sz="8" w:color="0000EE"/>
            </w:tcBorders>
          </w:tcPr>
          <w:p>
            <w:pPr>
              <w:spacing w:after="0"/>
              <w:rPr>
                <w:sz w:val="16"/>
                <w:szCs w:val="16"/>
                <w:color w:val="auto"/>
              </w:rPr>
            </w:pPr>
          </w:p>
        </w:tc>
        <w:tc>
          <w:tcPr>
            <w:tcW w:w="6220" w:type="dxa"/>
            <w:vAlign w:val="bottom"/>
            <w:gridSpan w:val="4"/>
          </w:tcPr>
          <w:p>
            <w:pPr>
              <w:spacing w:after="0"/>
              <w:rPr>
                <w:sz w:val="16"/>
                <w:szCs w:val="16"/>
                <w:color w:val="auto"/>
              </w:rPr>
            </w:pPr>
          </w:p>
        </w:tc>
      </w:tr>
      <w:tr>
        <w:trPr>
          <w:trHeight w:val="187"/>
        </w:trPr>
        <w:tc>
          <w:tcPr>
            <w:tcW w:w="1240" w:type="dxa"/>
            <w:vAlign w:val="bottom"/>
            <w:gridSpan w:val="6"/>
          </w:tcPr>
          <w:p>
            <w:pPr>
              <w:spacing w:after="0" w:line="187" w:lineRule="exact"/>
              <w:rPr>
                <w:rFonts w:ascii="Times New Roman" w:cs="Times New Roman" w:eastAsia="Times New Roman" w:hAnsi="Times New Roman"/>
                <w:sz w:val="17"/>
                <w:szCs w:val="17"/>
                <w:color w:val="0000EE"/>
              </w:rPr>
            </w:pPr>
            <w:hyperlink r:id="rId37">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1(3)</w:t>
              </w:r>
            </w:hyperlink>
          </w:p>
        </w:tc>
        <w:tc>
          <w:tcPr>
            <w:tcW w:w="80" w:type="dxa"/>
            <w:vAlign w:val="bottom"/>
          </w:tcPr>
          <w:p>
            <w:pPr>
              <w:spacing w:after="0"/>
              <w:rPr>
                <w:sz w:val="16"/>
                <w:szCs w:val="16"/>
                <w:color w:val="auto"/>
              </w:rPr>
            </w:pPr>
          </w:p>
        </w:tc>
        <w:tc>
          <w:tcPr>
            <w:tcW w:w="9920" w:type="dxa"/>
            <w:vAlign w:val="bottom"/>
            <w:gridSpan w:val="9"/>
          </w:tcPr>
          <w:p>
            <w:pPr>
              <w:spacing w:after="0" w:line="187" w:lineRule="exact"/>
              <w:rPr>
                <w:rFonts w:ascii="Times New Roman" w:cs="Times New Roman" w:eastAsia="Times New Roman" w:hAnsi="Times New Roman"/>
                <w:sz w:val="17"/>
                <w:szCs w:val="17"/>
                <w:color w:val="0000EE"/>
              </w:rPr>
            </w:pPr>
            <w:hyperlink r:id="rId37">
              <w:r>
                <w:rPr>
                  <w:rFonts w:ascii="Times New Roman" w:cs="Times New Roman" w:eastAsia="Times New Roman" w:hAnsi="Times New Roman"/>
                  <w:sz w:val="17"/>
                  <w:szCs w:val="17"/>
                  <w:color w:val="0000EE"/>
                </w:rPr>
                <w:t>argenx Equity Incentive Plan, as amended (English translation).</w:t>
              </w:r>
            </w:hyperlink>
          </w:p>
        </w:tc>
      </w:tr>
      <w:tr>
        <w:trPr>
          <w:trHeight w:val="187"/>
        </w:trPr>
        <w:tc>
          <w:tcPr>
            <w:tcW w:w="400" w:type="dxa"/>
            <w:vAlign w:val="bottom"/>
            <w:tcBorders>
              <w:top w:val="single" w:sz="8" w:color="0000EE"/>
              <w:bottom w:val="single" w:sz="8" w:color="0000EE"/>
            </w:tcBorders>
            <w:gridSpan w:val="3"/>
          </w:tcPr>
          <w:p>
            <w:pPr>
              <w:spacing w:after="0" w:line="187" w:lineRule="exact"/>
              <w:rPr>
                <w:sz w:val="20"/>
                <w:szCs w:val="20"/>
                <w:color w:val="auto"/>
              </w:rPr>
            </w:pPr>
            <w:r>
              <w:rPr>
                <w:rFonts w:ascii="Times New Roman" w:cs="Times New Roman" w:eastAsia="Times New Roman" w:hAnsi="Times New Roman"/>
                <w:sz w:val="17"/>
                <w:szCs w:val="17"/>
                <w:color w:val="0000EE"/>
              </w:rPr>
              <w:t>107*</w:t>
            </w: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0000EE"/>
              <w:bottom w:val="single" w:sz="8" w:color="0000EE"/>
            </w:tcBorders>
          </w:tcPr>
          <w:p>
            <w:pPr>
              <w:spacing w:after="0" w:line="187" w:lineRule="exact"/>
              <w:rPr>
                <w:sz w:val="20"/>
                <w:szCs w:val="20"/>
                <w:color w:val="auto"/>
              </w:rPr>
            </w:pPr>
            <w:r>
              <w:rPr>
                <w:rFonts w:ascii="Times New Roman" w:cs="Times New Roman" w:eastAsia="Times New Roman" w:hAnsi="Times New Roman"/>
                <w:sz w:val="17"/>
                <w:szCs w:val="17"/>
                <w:color w:val="0000EE"/>
                <w:w w:val="99"/>
              </w:rPr>
              <w:t>Filing Fee Table.</w:t>
            </w:r>
          </w:p>
        </w:tc>
        <w:tc>
          <w:tcPr>
            <w:tcW w:w="3220" w:type="dxa"/>
            <w:vAlign w:val="bottom"/>
            <w:tcBorders>
              <w:top w:val="single" w:sz="8" w:color="0000EE"/>
            </w:tcBorders>
            <w:gridSpan w:val="6"/>
          </w:tcPr>
          <w:p>
            <w:pPr>
              <w:spacing w:after="0"/>
              <w:rPr>
                <w:sz w:val="16"/>
                <w:szCs w:val="16"/>
                <w:color w:val="auto"/>
              </w:rPr>
            </w:pPr>
          </w:p>
        </w:tc>
        <w:tc>
          <w:tcPr>
            <w:tcW w:w="5520" w:type="dxa"/>
            <w:vAlign w:val="bottom"/>
            <w:gridSpan w:val="2"/>
          </w:tcPr>
          <w:p>
            <w:pPr>
              <w:spacing w:after="0"/>
              <w:rPr>
                <w:sz w:val="16"/>
                <w:szCs w:val="16"/>
                <w:color w:val="auto"/>
              </w:rPr>
            </w:pPr>
          </w:p>
        </w:tc>
      </w:tr>
    </w:tbl>
    <w:p>
      <w:pPr>
        <w:spacing w:after="0" w:line="215" w:lineRule="exact"/>
        <w:rPr>
          <w:sz w:val="20"/>
          <w:szCs w:val="20"/>
          <w:color w:val="auto"/>
        </w:rPr>
      </w:pPr>
    </w:p>
    <w:p>
      <w:pPr>
        <w:ind w:left="360" w:right="160" w:hanging="348"/>
        <w:spacing w:after="0" w:line="265" w:lineRule="auto"/>
        <w:tabs>
          <w:tab w:leader="none" w:pos="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as Exhibit 1.1 to the Registrant’s Annual Report on Form 20-F (File No. 001-38097) filed with the Commission on March 20, 2025, and incorporated herein by reference.</w:t>
      </w:r>
    </w:p>
    <w:p>
      <w:pPr>
        <w:spacing w:after="0" w:line="1" w:lineRule="exact"/>
        <w:rPr>
          <w:rFonts w:ascii="Times New Roman" w:cs="Times New Roman" w:eastAsia="Times New Roman" w:hAnsi="Times New Roman"/>
          <w:sz w:val="17"/>
          <w:szCs w:val="17"/>
          <w:color w:val="auto"/>
        </w:rPr>
      </w:pPr>
    </w:p>
    <w:p>
      <w:pPr>
        <w:ind w:left="360" w:right="160" w:hanging="348"/>
        <w:spacing w:after="0" w:line="254" w:lineRule="auto"/>
        <w:tabs>
          <w:tab w:leader="none" w:pos="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as Exhibits 4.1 and 4.2 to the Registrant’s Registration Statement on Form F-1/A (File No. 333-217417) filed with the Commission on May 16, 2017, and incorporated herein by reference.</w:t>
      </w:r>
    </w:p>
    <w:p>
      <w:pPr>
        <w:ind w:left="360" w:right="160" w:hanging="348"/>
        <w:spacing w:after="0" w:line="254" w:lineRule="auto"/>
        <w:tabs>
          <w:tab w:leader="none" w:pos="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as Exhibit 4.3 to the Registrant’s Annual Report on Form 20-F (File No. 001-38097) filed with the Commission on March 20, 2025, and incorporated herein by reference.</w:t>
      </w:r>
    </w:p>
    <w:p>
      <w:pPr>
        <w:spacing w:after="0" w:line="1" w:lineRule="exact"/>
        <w:rPr>
          <w:sz w:val="20"/>
          <w:szCs w:val="20"/>
          <w:color w:val="auto"/>
        </w:rPr>
      </w:pPr>
    </w:p>
    <w:p>
      <w:pPr>
        <w:ind w:left="360" w:hanging="348"/>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 w:name="page6"/>
    <w:bookmarkEnd w:id="5"/>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Amsterdam, the Netherlands on December 17, 2025.</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ARGENX SE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Tim Van Hauwermeiren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19050</wp:posOffset>
            </wp:positionV>
            <wp:extent cx="33470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Tim Van Hauwermeiren</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040"/>
          </w:cols>
          <w:pgMar w:left="320" w:top="870" w:right="5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We, the undersigned directors, officers and/or authorized representative in the United States of argenx SE, hereby severally constitute and appoint Tim Van Hauwermeiren and Karl Gubitz, and each of them singly, our true and lawful attorneys-in-fact and agents, with full power to any of them, and to each of them singly, to sign for us and in our names in the capacities indicated below the registration statement on Form S-8 filed herewith, and any and all pre-effective and post-effective amendments to said registration statement, under the Securities Act of 1933, as amended, in connection with the registration under the Securities Act of 1933, as amended, of equity securities of argenx SE, and to file or cause to be filed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attorneys-in-fact and agents, and each of them, or their substitute or substitutes, shall do or cause to be done by virtue of this Power of Attorney.</w:t>
      </w:r>
    </w:p>
    <w:p>
      <w:pPr>
        <w:spacing w:after="0" w:line="173" w:lineRule="exact"/>
        <w:rPr>
          <w:sz w:val="20"/>
          <w:szCs w:val="20"/>
          <w:color w:val="auto"/>
        </w:rPr>
      </w:pPr>
    </w:p>
    <w:p>
      <w:pPr>
        <w:ind w:right="180" w:firstLine="6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20" w:type="dxa"/>
            <w:vAlign w:val="bottom"/>
          </w:tcPr>
          <w:p>
            <w:pPr>
              <w:spacing w:after="0"/>
              <w:rPr>
                <w:sz w:val="19"/>
                <w:szCs w:val="19"/>
                <w:color w:val="auto"/>
              </w:rPr>
            </w:pPr>
          </w:p>
        </w:tc>
        <w:tc>
          <w:tcPr>
            <w:tcW w:w="36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2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87"/>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 and Director (</w:t>
            </w:r>
            <w:r>
              <w:rPr>
                <w:rFonts w:ascii="Times New Roman" w:cs="Times New Roman" w:eastAsia="Times New Roman" w:hAnsi="Times New Roman"/>
                <w:sz w:val="17"/>
                <w:szCs w:val="17"/>
                <w:i w:val="1"/>
                <w:iCs w:val="1"/>
                <w:color w:val="auto"/>
              </w:rPr>
              <w:t>Principal</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2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Tim Van Hauwermeiren</w:t>
            </w:r>
          </w:p>
        </w:tc>
        <w:tc>
          <w:tcPr>
            <w:tcW w:w="2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Officer</w:t>
            </w:r>
            <w:r>
              <w:rPr>
                <w:rFonts w:ascii="Times New Roman" w:cs="Times New Roman" w:eastAsia="Times New Roman" w:hAnsi="Times New Roman"/>
                <w:sz w:val="17"/>
                <w:szCs w:val="17"/>
                <w:color w:val="auto"/>
              </w:rPr>
              <w:t>)</w:t>
            </w:r>
          </w:p>
        </w:tc>
        <w:tc>
          <w:tcPr>
            <w:tcW w:w="2240" w:type="dxa"/>
            <w:vAlign w:val="bottom"/>
          </w:tcPr>
          <w:p>
            <w:pPr>
              <w:spacing w:after="0"/>
              <w:rPr>
                <w:sz w:val="19"/>
                <w:szCs w:val="19"/>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 Van Hauwermeiren</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75"/>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 (</w:t>
            </w:r>
            <w:r>
              <w:rPr>
                <w:rFonts w:ascii="Times New Roman" w:cs="Times New Roman" w:eastAsia="Times New Roman" w:hAnsi="Times New Roman"/>
                <w:sz w:val="17"/>
                <w:szCs w:val="17"/>
                <w:i w:val="1"/>
                <w:iCs w:val="1"/>
                <w:color w:val="auto"/>
              </w:rPr>
              <w:t>Principal Financial and</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2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Karl Gubitz</w:t>
            </w:r>
          </w:p>
        </w:tc>
        <w:tc>
          <w:tcPr>
            <w:tcW w:w="2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Accounting Officer</w:t>
            </w:r>
            <w:r>
              <w:rPr>
                <w:rFonts w:ascii="Times New Roman" w:cs="Times New Roman" w:eastAsia="Times New Roman" w:hAnsi="Times New Roman"/>
                <w:sz w:val="17"/>
                <w:szCs w:val="17"/>
                <w:color w:val="auto"/>
              </w:rPr>
              <w:t>)</w:t>
            </w:r>
          </w:p>
        </w:tc>
        <w:tc>
          <w:tcPr>
            <w:tcW w:w="2240" w:type="dxa"/>
            <w:vAlign w:val="bottom"/>
          </w:tcPr>
          <w:p>
            <w:pPr>
              <w:spacing w:after="0"/>
              <w:rPr>
                <w:sz w:val="19"/>
                <w:szCs w:val="19"/>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Karl Gubitz</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Peter Verhaeghe</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Chairperson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Peter Verhaeghe</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Anthony Rosenberg</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 (and Vice Chairperson)</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A.A. Rosenberg</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Ana Cespedes</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Ana Cespedes</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James Daly</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James Daly</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Pamela M. Klein</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Pamela M. Klein</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Steve Krognes</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Steve Krognes</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Kotzin</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Kotzin</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Camilla Sylvest</w:t>
            </w:r>
          </w:p>
        </w:tc>
        <w:tc>
          <w:tcPr>
            <w:tcW w:w="22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17, 2025</w:t>
            </w: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Camilla Sylvest</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29"/>
        </w:trPr>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SIGNATURE OF AUTHORIZED REPRESENTATIVE IN THE UNITED STATES</w:t>
      </w:r>
    </w:p>
    <w:p>
      <w:pPr>
        <w:spacing w:after="0" w:line="221" w:lineRule="exact"/>
        <w:rPr>
          <w:sz w:val="20"/>
          <w:szCs w:val="20"/>
          <w:color w:val="auto"/>
        </w:rPr>
      </w:pPr>
    </w:p>
    <w:p>
      <w:pPr>
        <w:ind w:right="440" w:firstLine="311"/>
        <w:spacing w:after="0" w:line="291" w:lineRule="auto"/>
        <w:rPr>
          <w:sz w:val="20"/>
          <w:szCs w:val="20"/>
          <w:color w:val="auto"/>
        </w:rPr>
      </w:pPr>
      <w:r>
        <w:rPr>
          <w:rFonts w:ascii="Times New Roman" w:cs="Times New Roman" w:eastAsia="Times New Roman" w:hAnsi="Times New Roman"/>
          <w:sz w:val="17"/>
          <w:szCs w:val="17"/>
          <w:color w:val="auto"/>
        </w:rPr>
        <w:t>Pursuant to the Securities Act of 1933, as amended, the undersigned, the duly appointed representative in the United States of argenx SE has signed this registration statement on December 17, 2025.</w:t>
      </w:r>
    </w:p>
    <w:p>
      <w:pPr>
        <w:spacing w:after="0" w:line="14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Puglisi &amp; Associates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Donald J. Puglisi</w:t>
            </w:r>
          </w:p>
        </w:tc>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Authorized Representative in the United States</w:t>
            </w:r>
          </w:p>
        </w:tc>
      </w:tr>
      <w:tr>
        <w:trPr>
          <w:trHeight w:val="182"/>
        </w:trPr>
        <w:tc>
          <w:tcPr>
            <w:tcW w:w="360" w:type="dxa"/>
            <w:vAlign w:val="bottom"/>
          </w:tcPr>
          <w:p>
            <w:pPr>
              <w:spacing w:after="0"/>
              <w:rPr>
                <w:sz w:val="15"/>
                <w:szCs w:val="15"/>
                <w:color w:val="auto"/>
              </w:rPr>
            </w:pPr>
          </w:p>
        </w:tc>
        <w:tc>
          <w:tcPr>
            <w:tcW w:w="52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Name: Donald J. Puglisi</w:t>
            </w:r>
          </w:p>
        </w:tc>
        <w:tc>
          <w:tcPr>
            <w:tcW w:w="5600" w:type="dxa"/>
            <w:vAlign w:val="bottom"/>
          </w:tcPr>
          <w:p>
            <w:pPr>
              <w:spacing w:after="0"/>
              <w:rPr>
                <w:sz w:val="15"/>
                <w:szCs w:val="15"/>
                <w:color w:val="auto"/>
              </w:rPr>
            </w:pPr>
          </w:p>
        </w:tc>
      </w:tr>
      <w:tr>
        <w:trPr>
          <w:trHeight w:val="226"/>
        </w:trPr>
        <w:tc>
          <w:tcPr>
            <w:tcW w:w="3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Title: Managing Director</w:t>
            </w:r>
          </w:p>
        </w:tc>
        <w:tc>
          <w:tcPr>
            <w:tcW w:w="5600" w:type="dxa"/>
            <w:vAlign w:val="bottom"/>
          </w:tcPr>
          <w:p>
            <w:pPr>
              <w:spacing w:after="0"/>
              <w:rPr>
                <w:sz w:val="19"/>
                <w:szCs w:val="19"/>
                <w:color w:val="auto"/>
              </w:rPr>
            </w:pPr>
          </w:p>
        </w:tc>
      </w:tr>
      <w:tr>
        <w:trPr>
          <w:trHeight w:val="647"/>
        </w:trPr>
        <w:tc>
          <w:tcPr>
            <w:tcW w:w="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1833880" cy="222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183388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00" w:type="dxa"/>
        <w:tblCellMar>
          <w:top w:w="0" w:type="dxa"/>
          <w:left w:w="0" w:type="dxa"/>
          <w:bottom w:w="0" w:type="dxa"/>
          <w:right w:w="0" w:type="dxa"/>
        </w:tblCellMar>
      </w:tblP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argenx SE</w:t>
            </w: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b w:val="1"/>
                <w:bCs w:val="1"/>
                <w:color w:val="auto"/>
              </w:rPr>
              <w:t>Amsterdam</w:t>
            </w:r>
          </w:p>
        </w:tc>
      </w:tr>
      <w:tr>
        <w:trPr>
          <w:trHeight w:val="207"/>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Laarderhoogtweg 25</w:t>
            </w: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color w:val="auto"/>
              </w:rPr>
              <w:t xml:space="preserve">Freshfields </w:t>
            </w:r>
            <w:r>
              <w:rPr>
                <w:rFonts w:ascii="Times New Roman" w:cs="Times New Roman" w:eastAsia="Times New Roman" w:hAnsi="Times New Roman"/>
                <w:sz w:val="11"/>
                <w:szCs w:val="11"/>
                <w:color w:val="auto"/>
              </w:rPr>
              <w:t>llp</w:t>
            </w:r>
          </w:p>
        </w:tc>
      </w:tr>
      <w:tr>
        <w:trPr>
          <w:trHeight w:val="207"/>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1101 EB Amsterdam</w:t>
            </w: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color w:val="auto"/>
              </w:rPr>
              <w:t>Strawinskylaan 10</w:t>
            </w:r>
          </w:p>
        </w:tc>
      </w:tr>
      <w:tr>
        <w:trPr>
          <w:trHeight w:val="207"/>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The Netherlands</w:t>
            </w: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color w:val="auto"/>
              </w:rPr>
              <w:t>1077 XZ Amsterdam</w:t>
            </w:r>
          </w:p>
        </w:tc>
      </w:tr>
      <w:tr>
        <w:trPr>
          <w:trHeight w:val="207"/>
        </w:trPr>
        <w:tc>
          <w:tcPr>
            <w:tcW w:w="4880" w:type="dxa"/>
            <w:vAlign w:val="bottom"/>
          </w:tcPr>
          <w:p>
            <w:pPr>
              <w:spacing w:after="0"/>
              <w:rPr>
                <w:sz w:val="18"/>
                <w:szCs w:val="18"/>
                <w:color w:val="auto"/>
              </w:rPr>
            </w:pP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color w:val="auto"/>
              </w:rPr>
              <w:t>Postbus 75299</w:t>
            </w:r>
          </w:p>
        </w:tc>
      </w:tr>
      <w:tr>
        <w:trPr>
          <w:trHeight w:val="207"/>
        </w:trPr>
        <w:tc>
          <w:tcPr>
            <w:tcW w:w="4880" w:type="dxa"/>
            <w:vAlign w:val="bottom"/>
          </w:tcPr>
          <w:p>
            <w:pPr>
              <w:spacing w:after="0"/>
              <w:rPr>
                <w:sz w:val="18"/>
                <w:szCs w:val="18"/>
                <w:color w:val="auto"/>
              </w:rPr>
            </w:pP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color w:val="auto"/>
              </w:rPr>
              <w:t>1070 AG Amsterdam</w:t>
            </w:r>
          </w:p>
        </w:tc>
      </w:tr>
      <w:tr>
        <w:trPr>
          <w:trHeight w:val="207"/>
        </w:trPr>
        <w:tc>
          <w:tcPr>
            <w:tcW w:w="4880" w:type="dxa"/>
            <w:vAlign w:val="bottom"/>
          </w:tcPr>
          <w:p>
            <w:pPr>
              <w:spacing w:after="0"/>
              <w:rPr>
                <w:sz w:val="18"/>
                <w:szCs w:val="18"/>
                <w:color w:val="auto"/>
              </w:rPr>
            </w:pPr>
          </w:p>
        </w:tc>
        <w:tc>
          <w:tcPr>
            <w:tcW w:w="3700" w:type="dxa"/>
            <w:vAlign w:val="bottom"/>
          </w:tcPr>
          <w:p>
            <w:pPr>
              <w:ind w:left="3460"/>
              <w:spacing w:after="0"/>
              <w:rPr>
                <w:sz w:val="20"/>
                <w:szCs w:val="20"/>
                <w:color w:val="auto"/>
              </w:rPr>
            </w:pPr>
            <w:r>
              <w:rPr>
                <w:rFonts w:ascii="Times New Roman" w:cs="Times New Roman" w:eastAsia="Times New Roman" w:hAnsi="Times New Roman"/>
                <w:sz w:val="17"/>
                <w:szCs w:val="17"/>
                <w:color w:val="auto"/>
              </w:rPr>
              <w:t>T</w:t>
            </w:r>
          </w:p>
        </w:tc>
        <w:tc>
          <w:tcPr>
            <w:tcW w:w="196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+31 20 485 7000</w:t>
            </w:r>
          </w:p>
        </w:tc>
      </w:tr>
      <w:tr>
        <w:trPr>
          <w:trHeight w:val="207"/>
        </w:trPr>
        <w:tc>
          <w:tcPr>
            <w:tcW w:w="4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20 485 7633 (Direct)</w:t>
            </w:r>
          </w:p>
        </w:tc>
      </w:tr>
      <w:tr>
        <w:trPr>
          <w:trHeight w:val="207"/>
        </w:trPr>
        <w:tc>
          <w:tcPr>
            <w:tcW w:w="4880" w:type="dxa"/>
            <w:vAlign w:val="bottom"/>
          </w:tcPr>
          <w:p>
            <w:pPr>
              <w:spacing w:after="0"/>
              <w:rPr>
                <w:sz w:val="18"/>
                <w:szCs w:val="18"/>
                <w:color w:val="auto"/>
              </w:rPr>
            </w:pPr>
          </w:p>
        </w:tc>
        <w:tc>
          <w:tcPr>
            <w:tcW w:w="3700" w:type="dxa"/>
            <w:vAlign w:val="bottom"/>
          </w:tcPr>
          <w:p>
            <w:pPr>
              <w:ind w:left="3460"/>
              <w:spacing w:after="0"/>
              <w:rPr>
                <w:sz w:val="20"/>
                <w:szCs w:val="20"/>
                <w:color w:val="auto"/>
              </w:rPr>
            </w:pPr>
            <w:r>
              <w:rPr>
                <w:rFonts w:ascii="Times New Roman" w:cs="Times New Roman" w:eastAsia="Times New Roman" w:hAnsi="Times New Roman"/>
                <w:sz w:val="17"/>
                <w:szCs w:val="17"/>
                <w:color w:val="auto"/>
              </w:rPr>
              <w:t>F</w:t>
            </w:r>
          </w:p>
        </w:tc>
        <w:tc>
          <w:tcPr>
            <w:tcW w:w="196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+31 20 517 7633</w:t>
            </w:r>
          </w:p>
        </w:tc>
      </w:tr>
      <w:tr>
        <w:trPr>
          <w:trHeight w:val="207"/>
        </w:trPr>
        <w:tc>
          <w:tcPr>
            <w:tcW w:w="4880" w:type="dxa"/>
            <w:vAlign w:val="bottom"/>
          </w:tcPr>
          <w:p>
            <w:pPr>
              <w:spacing w:after="0"/>
              <w:rPr>
                <w:sz w:val="18"/>
                <w:szCs w:val="18"/>
                <w:color w:val="auto"/>
              </w:rPr>
            </w:pP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color w:val="auto"/>
              </w:rPr>
              <w:t>E dirkjan.smit@freshfields.com</w:t>
            </w:r>
          </w:p>
        </w:tc>
      </w:tr>
      <w:tr>
        <w:trPr>
          <w:trHeight w:val="226"/>
        </w:trPr>
        <w:tc>
          <w:tcPr>
            <w:tcW w:w="4880" w:type="dxa"/>
            <w:vAlign w:val="bottom"/>
          </w:tcPr>
          <w:p>
            <w:pPr>
              <w:spacing w:after="0"/>
              <w:rPr>
                <w:sz w:val="19"/>
                <w:szCs w:val="19"/>
                <w:color w:val="auto"/>
              </w:rPr>
            </w:pPr>
          </w:p>
        </w:tc>
        <w:tc>
          <w:tcPr>
            <w:tcW w:w="5660" w:type="dxa"/>
            <w:vAlign w:val="bottom"/>
            <w:gridSpan w:val="2"/>
          </w:tcPr>
          <w:p>
            <w:pPr>
              <w:ind w:left="3460"/>
              <w:spacing w:after="0"/>
              <w:rPr>
                <w:sz w:val="20"/>
                <w:szCs w:val="20"/>
                <w:color w:val="auto"/>
              </w:rPr>
            </w:pPr>
            <w:r>
              <w:rPr>
                <w:rFonts w:ascii="Times New Roman" w:cs="Times New Roman" w:eastAsia="Times New Roman" w:hAnsi="Times New Roman"/>
                <w:sz w:val="17"/>
                <w:szCs w:val="17"/>
                <w:color w:val="auto"/>
              </w:rPr>
              <w:t>www.freshfields.com</w:t>
            </w:r>
          </w:p>
        </w:tc>
      </w:tr>
    </w:tbl>
    <w:p>
      <w:pPr>
        <w:spacing w:after="0" w:line="18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b w:val="1"/>
          <w:bCs w:val="1"/>
          <w:color w:val="auto"/>
        </w:rPr>
        <w:t>Doc ID</w:t>
      </w:r>
    </w:p>
    <w:p>
      <w:pPr>
        <w:spacing w:after="0" w:line="3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EUROPE-LEGAL-276466486/1</w:t>
      </w:r>
    </w:p>
    <w:p>
      <w:pPr>
        <w:spacing w:after="0" w:line="19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b w:val="1"/>
          <w:bCs w:val="1"/>
          <w:color w:val="auto"/>
        </w:rPr>
        <w:t>Our Ref</w:t>
      </w:r>
    </w:p>
    <w:p>
      <w:pPr>
        <w:spacing w:after="0" w:line="3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DJS/MM</w:t>
      </w:r>
    </w:p>
    <w:p>
      <w:pPr>
        <w:spacing w:after="0" w:line="1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CLIENT MATTER NO. 163871/0033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December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Sir/Madam,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ARGENX SE – FORM S-8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7" w:lineRule="exact"/>
        <w:rPr>
          <w:sz w:val="20"/>
          <w:szCs w:val="20"/>
          <w:color w:val="auto"/>
        </w:rPr>
      </w:pPr>
    </w:p>
    <w:p>
      <w:pPr>
        <w:jc w:val="both"/>
        <w:ind w:firstLine="4"/>
        <w:spacing w:after="0" w:line="264" w:lineRule="auto"/>
        <w:tabs>
          <w:tab w:leader="none" w:pos="18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We have acted as Dutch law legal advisers to argenx SE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with respect to certain matters of Netherlands law in connection with,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the registration statement on Form S-8 filed with the United States Securities and Exchange Commission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xml:space="preserve">) on 17 December 2025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xml:space="preserve">) under the United States Securities Act of 1933, as amended, with respect to ordinary shares of the Company with a nominal value of EUR 0.10 each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to be issued pursuant to (i) the exercise of option rights to purchase ordinary shares pursuant to the Option Plan (as defined below) (the</w:t>
      </w:r>
      <w:r>
        <w:rPr>
          <w:rFonts w:ascii="Times New Roman" w:cs="Times New Roman" w:eastAsia="Times New Roman" w:hAnsi="Times New Roman"/>
          <w:sz w:val="17"/>
          <w:szCs w:val="17"/>
          <w:b w:val="1"/>
          <w:bCs w:val="1"/>
          <w:i w:val="1"/>
          <w:iCs w:val="1"/>
          <w:color w:val="auto"/>
        </w:rPr>
        <w:t xml:space="preserve"> Stock Options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(ii) the settlement of vested restricted stock units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and (iii) the settlement of vested performance share units (</w:t>
      </w:r>
      <w:r>
        <w:rPr>
          <w:rFonts w:ascii="Times New Roman" w:cs="Times New Roman" w:eastAsia="Times New Roman" w:hAnsi="Times New Roman"/>
          <w:sz w:val="17"/>
          <w:szCs w:val="17"/>
          <w:b w:val="1"/>
          <w:bCs w:val="1"/>
          <w:i w:val="1"/>
          <w:iCs w:val="1"/>
          <w:color w:val="auto"/>
        </w:rPr>
        <w:t>PSUs</w:t>
      </w:r>
      <w:r>
        <w:rPr>
          <w:rFonts w:ascii="Times New Roman" w:cs="Times New Roman" w:eastAsia="Times New Roman" w:hAnsi="Times New Roman"/>
          <w:sz w:val="17"/>
          <w:szCs w:val="17"/>
          <w:color w:val="auto"/>
        </w:rPr>
        <w:t>) pursuant to the Option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opinion letter is delivered to you pursuant to your request.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Documents reviewed</w:t>
      </w:r>
    </w:p>
    <w:p>
      <w:pPr>
        <w:spacing w:after="0" w:line="221" w:lineRule="exact"/>
        <w:rPr>
          <w:sz w:val="20"/>
          <w:szCs w:val="20"/>
          <w:color w:val="auto"/>
        </w:rPr>
      </w:pPr>
    </w:p>
    <w:p>
      <w:pPr>
        <w:ind w:left="620" w:hanging="616"/>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rendering the opinion, we have examined the following documents:</w:t>
      </w:r>
    </w:p>
    <w:p>
      <w:pPr>
        <w:spacing w:after="0" w:line="219" w:lineRule="exact"/>
        <w:rPr>
          <w:sz w:val="20"/>
          <w:szCs w:val="20"/>
          <w:color w:val="auto"/>
        </w:rPr>
      </w:pPr>
    </w:p>
    <w:p>
      <w:pPr>
        <w:ind w:left="620" w:hanging="616"/>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scanned copy of the Registration Statement;</w:t>
      </w:r>
    </w:p>
    <w:p>
      <w:pPr>
        <w:spacing w:after="0" w:line="218" w:lineRule="exact"/>
        <w:rPr>
          <w:rFonts w:ascii="Times New Roman" w:cs="Times New Roman" w:eastAsia="Times New Roman" w:hAnsi="Times New Roman"/>
          <w:sz w:val="17"/>
          <w:szCs w:val="17"/>
          <w:color w:val="auto"/>
        </w:rPr>
      </w:pPr>
    </w:p>
    <w:p>
      <w:pPr>
        <w:jc w:val="both"/>
        <w:ind w:left="620" w:hanging="616"/>
        <w:spacing w:after="0" w:line="273"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scanned copy of the argenx Equity Incentive Plan, as amended for the grant of (i) Stock Options, (ii) RSUs and (iii) PSUs as installed by the Company’s board of directors on 2 March 2021 and lastly amended on 30 June 2025 (the </w:t>
      </w:r>
      <w:r>
        <w:rPr>
          <w:rFonts w:ascii="Times New Roman" w:cs="Times New Roman" w:eastAsia="Times New Roman" w:hAnsi="Times New Roman"/>
          <w:sz w:val="17"/>
          <w:szCs w:val="17"/>
          <w:b w:val="1"/>
          <w:bCs w:val="1"/>
          <w:i w:val="1"/>
          <w:iCs w:val="1"/>
          <w:color w:val="auto"/>
        </w:rPr>
        <w:t>Option Plan</w:t>
      </w:r>
      <w:r>
        <w:rPr>
          <w:rFonts w:ascii="Times New Roman" w:cs="Times New Roman" w:eastAsia="Times New Roman" w:hAnsi="Times New Roman"/>
          <w:sz w:val="17"/>
          <w:szCs w:val="17"/>
          <w:color w:val="auto"/>
        </w:rPr>
        <w:t xml:space="preserve"> and the Stock Options, RSUs and PSUs granted pursuant to the Option Plan, the </w:t>
      </w:r>
      <w:r>
        <w:rPr>
          <w:rFonts w:ascii="Times New Roman" w:cs="Times New Roman" w:eastAsia="Times New Roman" w:hAnsi="Times New Roman"/>
          <w:sz w:val="17"/>
          <w:szCs w:val="17"/>
          <w:b w:val="1"/>
          <w:bCs w:val="1"/>
          <w:i w:val="1"/>
          <w:iCs w:val="1"/>
          <w:color w:val="auto"/>
        </w:rPr>
        <w:t>Plan Option Rights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Freshfields LLP is a limited liability partnership registered in England and Wales under registration number OC334789, authorised and regulated by the Solicitors Regulation Authority (SRA number 484861). Chamber of Commerce (KvK) number 34368197. For information regarding relevant regulations, please refer to www.freshfields.com/support/legal-notice.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A list of the members (and of the non-members who are designated as ‘partners’) of Freshfields LLP is available for inspection at 100 Bishopsgate, London EC2P 2SR and at Strawinskylaan 10, 1077 XZ Amsterdam. Any reference to a partner means a member, consultant, or employee with equivalent standing and professional qualifications of Freshfields LLP or of a firm or entity affiliated with it. Attached to Freshfields LLP’s Amsterdam office are lawyers, civil-law notaries, solicitors, and similarly qualified persons in jurisdictions other than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138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7"/>
          <w:szCs w:val="17"/>
          <w:b w:val="1"/>
          <w:bCs w:val="1"/>
          <w:color w:val="auto"/>
        </w:rPr>
        <w:t>2/10</w:t>
      </w:r>
    </w:p>
    <w:p>
      <w:pPr>
        <w:spacing w:after="0" w:line="200" w:lineRule="exact"/>
        <w:rPr>
          <w:sz w:val="20"/>
          <w:szCs w:val="20"/>
          <w:color w:val="auto"/>
        </w:rPr>
      </w:pPr>
    </w:p>
    <w:p>
      <w:pPr>
        <w:spacing w:after="0" w:line="224" w:lineRule="exact"/>
        <w:rPr>
          <w:sz w:val="20"/>
          <w:szCs w:val="20"/>
          <w:color w:val="auto"/>
        </w:rPr>
      </w:pPr>
    </w:p>
    <w:p>
      <w:pPr>
        <w:jc w:val="both"/>
        <w:ind w:left="620" w:hanging="616"/>
        <w:spacing w:after="0" w:line="275"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electronic copy of an extract from the commercial register of the Dutch Chamber of Commerce (the </w:t>
      </w:r>
      <w:r>
        <w:rPr>
          <w:rFonts w:ascii="Times New Roman" w:cs="Times New Roman" w:eastAsia="Times New Roman" w:hAnsi="Times New Roman"/>
          <w:sz w:val="17"/>
          <w:szCs w:val="17"/>
          <w:b w:val="1"/>
          <w:bCs w:val="1"/>
          <w:i w:val="1"/>
          <w:iCs w:val="1"/>
          <w:color w:val="auto"/>
        </w:rPr>
        <w:t>Commercial Register</w:t>
      </w:r>
      <w:r>
        <w:rPr>
          <w:rFonts w:ascii="Times New Roman" w:cs="Times New Roman" w:eastAsia="Times New Roman" w:hAnsi="Times New Roman"/>
          <w:sz w:val="17"/>
          <w:szCs w:val="17"/>
          <w:color w:val="auto"/>
        </w:rPr>
        <w:t xml:space="preserve">) dated 17 December 2025 relating to the Company, and confirmed upon our request by the Commercial Register by telephone to be correct in all material respects on the date hereof (the </w:t>
      </w:r>
      <w:r>
        <w:rPr>
          <w:rFonts w:ascii="Times New Roman" w:cs="Times New Roman" w:eastAsia="Times New Roman" w:hAnsi="Times New Roman"/>
          <w:sz w:val="17"/>
          <w:szCs w:val="17"/>
          <w:b w:val="1"/>
          <w:bCs w:val="1"/>
          <w:i w:val="1"/>
          <w:iCs w:val="1"/>
          <w:color w:val="auto"/>
        </w:rPr>
        <w:t>Extract</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left="620" w:hanging="616"/>
        <w:spacing w:after="0" w:line="273"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print-out of an electronic online confirmation from the insolvency register from the district court of Rotterdam through www.rechtspraak.nl and the online EU Insolvency register dated 17 December 2025 that the Company has not been declared bankrupt (</w:t>
      </w:r>
      <w:r>
        <w:rPr>
          <w:rFonts w:ascii="Times New Roman" w:cs="Times New Roman" w:eastAsia="Times New Roman" w:hAnsi="Times New Roman"/>
          <w:sz w:val="17"/>
          <w:szCs w:val="17"/>
          <w:i w:val="1"/>
          <w:iCs w:val="1"/>
          <w:color w:val="auto"/>
        </w:rPr>
        <w:t>failliet verklaard</w:t>
      </w:r>
      <w:r>
        <w:rPr>
          <w:rFonts w:ascii="Times New Roman" w:cs="Times New Roman" w:eastAsia="Times New Roman" w:hAnsi="Times New Roman"/>
          <w:sz w:val="17"/>
          <w:szCs w:val="17"/>
          <w:color w:val="auto"/>
        </w:rPr>
        <w:t>) or has not been granted a suspension of payments (</w:t>
      </w:r>
      <w:r>
        <w:rPr>
          <w:rFonts w:ascii="Times New Roman" w:cs="Times New Roman" w:eastAsia="Times New Roman" w:hAnsi="Times New Roman"/>
          <w:sz w:val="17"/>
          <w:szCs w:val="17"/>
          <w:i w:val="1"/>
          <w:iCs w:val="1"/>
          <w:color w:val="auto"/>
        </w:rPr>
        <w:t>surseance van betaling</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scanned copy of the deed of incorporation of the Company dated 2 May 2008 (the </w:t>
      </w:r>
      <w:r>
        <w:rPr>
          <w:rFonts w:ascii="Times New Roman" w:cs="Times New Roman" w:eastAsia="Times New Roman" w:hAnsi="Times New Roman"/>
          <w:sz w:val="17"/>
          <w:szCs w:val="17"/>
          <w:b w:val="1"/>
          <w:bCs w:val="1"/>
          <w:i w:val="1"/>
          <w:iCs w:val="1"/>
          <w:color w:val="auto"/>
        </w:rPr>
        <w:t>Deed of Incorporation</w:t>
      </w:r>
      <w:r>
        <w:rPr>
          <w:rFonts w:ascii="Times New Roman" w:cs="Times New Roman" w:eastAsia="Times New Roman" w:hAnsi="Times New Roman"/>
          <w:sz w:val="17"/>
          <w:szCs w:val="17"/>
          <w:color w:val="auto"/>
        </w:rPr>
        <w:t>);</w:t>
      </w:r>
    </w:p>
    <w:p>
      <w:pPr>
        <w:spacing w:after="0" w:line="220" w:lineRule="exact"/>
        <w:rPr>
          <w:rFonts w:ascii="Times New Roman" w:cs="Times New Roman" w:eastAsia="Times New Roman" w:hAnsi="Times New Roman"/>
          <w:sz w:val="17"/>
          <w:szCs w:val="17"/>
          <w:color w:val="auto"/>
        </w:rPr>
      </w:pPr>
    </w:p>
    <w:p>
      <w:pPr>
        <w:ind w:left="620" w:hanging="616"/>
        <w:spacing w:after="0" w:line="294"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scanned copy of a deed of conversion and amendment (</w:t>
      </w:r>
      <w:r>
        <w:rPr>
          <w:rFonts w:ascii="Times New Roman" w:cs="Times New Roman" w:eastAsia="Times New Roman" w:hAnsi="Times New Roman"/>
          <w:sz w:val="17"/>
          <w:szCs w:val="17"/>
          <w:i w:val="1"/>
          <w:iCs w:val="1"/>
          <w:color w:val="auto"/>
        </w:rPr>
        <w:t>akte van omzetting en statutenwijziging</w:t>
      </w:r>
      <w:r>
        <w:rPr>
          <w:rFonts w:ascii="Times New Roman" w:cs="Times New Roman" w:eastAsia="Times New Roman" w:hAnsi="Times New Roman"/>
          <w:sz w:val="17"/>
          <w:szCs w:val="17"/>
          <w:color w:val="auto"/>
        </w:rPr>
        <w:t>) dated 26 April 2017 relating to the conversion of the legal form of the Company into an SE or European Company and amendment of the articles of association (</w:t>
      </w:r>
      <w:r>
        <w:rPr>
          <w:rFonts w:ascii="Times New Roman" w:cs="Times New Roman" w:eastAsia="Times New Roman" w:hAnsi="Times New Roman"/>
          <w:sz w:val="17"/>
          <w:szCs w:val="17"/>
          <w:i w:val="1"/>
          <w:iCs w:val="1"/>
          <w:color w:val="auto"/>
        </w:rPr>
        <w:t>statuten</w:t>
      </w:r>
      <w:r>
        <w:rPr>
          <w:rFonts w:ascii="Times New Roman" w:cs="Times New Roman" w:eastAsia="Times New Roman" w:hAnsi="Times New Roman"/>
          <w:sz w:val="17"/>
          <w:szCs w:val="17"/>
          <w:color w:val="auto"/>
        </w:rPr>
        <w:t>) of the Company; and</w:t>
      </w:r>
    </w:p>
    <w:p>
      <w:pPr>
        <w:spacing w:after="0" w:line="142" w:lineRule="exact"/>
        <w:rPr>
          <w:rFonts w:ascii="Times New Roman" w:cs="Times New Roman" w:eastAsia="Times New Roman" w:hAnsi="Times New Roman"/>
          <w:sz w:val="17"/>
          <w:szCs w:val="17"/>
          <w:color w:val="auto"/>
        </w:rPr>
      </w:pPr>
    </w:p>
    <w:p>
      <w:pPr>
        <w:jc w:val="both"/>
        <w:ind w:left="620" w:hanging="616"/>
        <w:spacing w:after="0" w:line="274"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scanned copy of a deed of partial amendment of the articles of association of the Company (</w:t>
      </w:r>
      <w:r>
        <w:rPr>
          <w:rFonts w:ascii="Times New Roman" w:cs="Times New Roman" w:eastAsia="Times New Roman" w:hAnsi="Times New Roman"/>
          <w:sz w:val="17"/>
          <w:szCs w:val="17"/>
          <w:i w:val="1"/>
          <w:iCs w:val="1"/>
          <w:color w:val="auto"/>
        </w:rPr>
        <w:t>akte van partiële statutenwijziging</w:t>
      </w:r>
      <w:r>
        <w:rPr>
          <w:rFonts w:ascii="Times New Roman" w:cs="Times New Roman" w:eastAsia="Times New Roman" w:hAnsi="Times New Roman"/>
          <w:sz w:val="17"/>
          <w:szCs w:val="17"/>
          <w:color w:val="auto"/>
        </w:rPr>
        <w:t xml:space="preserve">) dated 7 May 2024 (the </w:t>
      </w:r>
      <w:r>
        <w:rPr>
          <w:rFonts w:ascii="Times New Roman" w:cs="Times New Roman" w:eastAsia="Times New Roman" w:hAnsi="Times New Roman"/>
          <w:sz w:val="17"/>
          <w:szCs w:val="17"/>
          <w:b w:val="1"/>
          <w:bCs w:val="1"/>
          <w:i w:val="1"/>
          <w:iCs w:val="1"/>
          <w:color w:val="auto"/>
        </w:rPr>
        <w:t>Deed of Amendment</w:t>
      </w:r>
      <w:r>
        <w:rPr>
          <w:rFonts w:ascii="Times New Roman" w:cs="Times New Roman" w:eastAsia="Times New Roman" w:hAnsi="Times New Roman"/>
          <w:sz w:val="17"/>
          <w:szCs w:val="17"/>
          <w:color w:val="auto"/>
        </w:rPr>
        <w:t>), which, according to the Extract, are the Company’s articles of association currently in force and effect (the</w:t>
      </w:r>
      <w:r>
        <w:rPr>
          <w:rFonts w:ascii="Times New Roman" w:cs="Times New Roman" w:eastAsia="Times New Roman" w:hAnsi="Times New Roman"/>
          <w:sz w:val="17"/>
          <w:szCs w:val="17"/>
          <w:b w:val="1"/>
          <w:bCs w:val="1"/>
          <w:i w:val="1"/>
          <w:iCs w:val="1"/>
          <w:color w:val="auto"/>
        </w:rPr>
        <w:t xml:space="preserve"> Articles of Association</w:t>
      </w:r>
      <w:r>
        <w:rPr>
          <w:rFonts w:ascii="Times New Roman" w:cs="Times New Roman" w:eastAsia="Times New Roman" w:hAnsi="Times New Roman"/>
          <w:sz w:val="17"/>
          <w:szCs w:val="17"/>
          <w:color w:val="auto"/>
        </w:rPr>
        <w:t>); and</w:t>
      </w:r>
    </w:p>
    <w:p>
      <w:pPr>
        <w:spacing w:after="0" w:line="161"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scanned copies of:</w:t>
      </w:r>
    </w:p>
    <w:p>
      <w:pPr>
        <w:spacing w:after="0" w:line="218" w:lineRule="exact"/>
        <w:rPr>
          <w:rFonts w:ascii="Times New Roman" w:cs="Times New Roman" w:eastAsia="Times New Roman" w:hAnsi="Times New Roman"/>
          <w:sz w:val="17"/>
          <w:szCs w:val="17"/>
          <w:color w:val="auto"/>
        </w:rPr>
      </w:pPr>
    </w:p>
    <w:p>
      <w:pPr>
        <w:ind w:left="1220" w:hanging="595"/>
        <w:spacing w:after="0"/>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signed minutes of the board of directors of the Company dated 2 March 2021;</w:t>
      </w:r>
    </w:p>
    <w:p>
      <w:pPr>
        <w:spacing w:after="0" w:line="214" w:lineRule="exact"/>
        <w:rPr>
          <w:rFonts w:ascii="Times New Roman" w:cs="Times New Roman" w:eastAsia="Times New Roman" w:hAnsi="Times New Roman"/>
          <w:sz w:val="17"/>
          <w:szCs w:val="17"/>
          <w:color w:val="auto"/>
        </w:rPr>
      </w:pPr>
    </w:p>
    <w:p>
      <w:pPr>
        <w:ind w:left="1220" w:hanging="595"/>
        <w:spacing w:after="0"/>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signed resolution of the board of directors of the Company dated 17 August 2023 (the </w:t>
      </w:r>
      <w:r>
        <w:rPr>
          <w:rFonts w:ascii="Times New Roman" w:cs="Times New Roman" w:eastAsia="Times New Roman" w:hAnsi="Times New Roman"/>
          <w:sz w:val="17"/>
          <w:szCs w:val="17"/>
          <w:b w:val="1"/>
          <w:bCs w:val="1"/>
          <w:i w:val="1"/>
          <w:iCs w:val="1"/>
          <w:color w:val="auto"/>
        </w:rPr>
        <w:t>Distribution Resolution</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ind w:left="1220" w:hanging="595"/>
        <w:spacing w:after="0"/>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signed minutes of the board of directors of the Company dated 30 June 2025;</w:t>
      </w:r>
    </w:p>
    <w:p>
      <w:pPr>
        <w:spacing w:after="0" w:line="218" w:lineRule="exact"/>
        <w:rPr>
          <w:rFonts w:ascii="Times New Roman" w:cs="Times New Roman" w:eastAsia="Times New Roman" w:hAnsi="Times New Roman"/>
          <w:sz w:val="17"/>
          <w:szCs w:val="17"/>
          <w:color w:val="auto"/>
        </w:rPr>
      </w:pPr>
    </w:p>
    <w:p>
      <w:pPr>
        <w:ind w:left="1220" w:hanging="595"/>
        <w:spacing w:after="0"/>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signed resolution of the board of directors of the Company dated 17 December 2025;</w:t>
      </w:r>
    </w:p>
    <w:p>
      <w:pPr>
        <w:spacing w:after="0" w:line="218" w:lineRule="exact"/>
        <w:rPr>
          <w:rFonts w:ascii="Times New Roman" w:cs="Times New Roman" w:eastAsia="Times New Roman" w:hAnsi="Times New Roman"/>
          <w:sz w:val="17"/>
          <w:szCs w:val="17"/>
          <w:color w:val="auto"/>
        </w:rPr>
      </w:pPr>
    </w:p>
    <w:p>
      <w:pPr>
        <w:ind w:left="1220" w:hanging="595"/>
        <w:spacing w:after="0"/>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signed minutes of the proceedings of the annual general meeting of shareholders of the Company, held on 27 May 2025; and</w:t>
      </w:r>
    </w:p>
    <w:p>
      <w:pPr>
        <w:spacing w:after="0" w:line="218" w:lineRule="exact"/>
        <w:rPr>
          <w:rFonts w:ascii="Times New Roman" w:cs="Times New Roman" w:eastAsia="Times New Roman" w:hAnsi="Times New Roman"/>
          <w:sz w:val="17"/>
          <w:szCs w:val="17"/>
          <w:color w:val="auto"/>
        </w:rPr>
      </w:pPr>
    </w:p>
    <w:p>
      <w:pPr>
        <w:ind w:left="1220" w:hanging="595"/>
        <w:spacing w:after="0" w:line="291" w:lineRule="auto"/>
        <w:tabs>
          <w:tab w:leader="none" w:pos="12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draft minutes of the proceedings of the extraordinary general meeting of shareholders of the Company, held on 18 November 2025 (as published on the Company’s website).</w:t>
      </w:r>
    </w:p>
    <w:p>
      <w:pPr>
        <w:spacing w:after="0" w:line="144" w:lineRule="exact"/>
        <w:rPr>
          <w:sz w:val="20"/>
          <w:szCs w:val="20"/>
          <w:color w:val="auto"/>
        </w:rPr>
      </w:pPr>
    </w:p>
    <w:p>
      <w:pPr>
        <w:jc w:val="both"/>
        <w:ind w:left="620"/>
        <w:spacing w:after="0" w:line="287" w:lineRule="auto"/>
        <w:rPr>
          <w:sz w:val="20"/>
          <w:szCs w:val="20"/>
          <w:color w:val="auto"/>
        </w:rPr>
      </w:pPr>
      <w:r>
        <w:rPr>
          <w:rFonts w:ascii="Times New Roman" w:cs="Times New Roman" w:eastAsia="Times New Roman" w:hAnsi="Times New Roman"/>
          <w:sz w:val="17"/>
          <w:szCs w:val="17"/>
          <w:color w:val="auto"/>
        </w:rPr>
        <w:t xml:space="preserve">The documents referred to above in items ‎(a) to ‎(h) (inclusive) are herein referred to as the </w:t>
      </w:r>
      <w:r>
        <w:rPr>
          <w:rFonts w:ascii="Times New Roman" w:cs="Times New Roman" w:eastAsia="Times New Roman" w:hAnsi="Times New Roman"/>
          <w:sz w:val="17"/>
          <w:szCs w:val="17"/>
          <w:b w:val="1"/>
          <w:bCs w:val="1"/>
          <w:i w:val="1"/>
          <w:iCs w:val="1"/>
          <w:color w:val="auto"/>
        </w:rPr>
        <w:t>Documents</w:t>
      </w:r>
      <w:r>
        <w:rPr>
          <w:rFonts w:ascii="Times New Roman" w:cs="Times New Roman" w:eastAsia="Times New Roman" w:hAnsi="Times New Roman"/>
          <w:sz w:val="17"/>
          <w:szCs w:val="17"/>
          <w:color w:val="auto"/>
        </w:rPr>
        <w:t xml:space="preserve">; the documents referred to above in items ‎(e) to ‎(g) (inclusive) are herein referred to as the </w:t>
      </w:r>
      <w:r>
        <w:rPr>
          <w:rFonts w:ascii="Times New Roman" w:cs="Times New Roman" w:eastAsia="Times New Roman" w:hAnsi="Times New Roman"/>
          <w:sz w:val="17"/>
          <w:szCs w:val="17"/>
          <w:b w:val="1"/>
          <w:bCs w:val="1"/>
          <w:i w:val="1"/>
          <w:iCs w:val="1"/>
          <w:color w:val="auto"/>
        </w:rPr>
        <w:t>Corporate Documents</w:t>
      </w:r>
      <w:r>
        <w:rPr>
          <w:rFonts w:ascii="Times New Roman" w:cs="Times New Roman" w:eastAsia="Times New Roman" w:hAnsi="Times New Roman"/>
          <w:sz w:val="17"/>
          <w:szCs w:val="17"/>
          <w:color w:val="auto"/>
        </w:rPr>
        <w:t xml:space="preserve"> and the documents referred to above in item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(h) are herein referred to as the </w:t>
      </w:r>
      <w:r>
        <w:rPr>
          <w:rFonts w:ascii="Times New Roman" w:cs="Times New Roman" w:eastAsia="Times New Roman" w:hAnsi="Times New Roman"/>
          <w:sz w:val="17"/>
          <w:szCs w:val="17"/>
          <w:b w:val="1"/>
          <w:bCs w:val="1"/>
          <w:i w:val="1"/>
          <w:iCs w:val="1"/>
          <w:color w:val="auto"/>
        </w:rPr>
        <w:t>Resolutions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523240</wp:posOffset>
            </wp:positionV>
            <wp:extent cx="7138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7"/>
          <w:szCs w:val="17"/>
          <w:b w:val="1"/>
          <w:bCs w:val="1"/>
          <w:color w:val="auto"/>
        </w:rPr>
        <w:t>3/10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of Opinion and Observations</w:t>
      </w:r>
    </w:p>
    <w:p>
      <w:pPr>
        <w:spacing w:after="0" w:line="221" w:lineRule="exact"/>
        <w:rPr>
          <w:sz w:val="20"/>
          <w:szCs w:val="20"/>
          <w:color w:val="auto"/>
        </w:rPr>
      </w:pPr>
    </w:p>
    <w:p>
      <w:pPr>
        <w:ind w:left="620" w:hanging="616"/>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is subject to the following nature of opinion and observations:</w:t>
      </w:r>
    </w:p>
    <w:p>
      <w:pPr>
        <w:spacing w:after="0" w:line="215" w:lineRule="exact"/>
        <w:rPr>
          <w:sz w:val="20"/>
          <w:szCs w:val="20"/>
          <w:color w:val="auto"/>
        </w:rPr>
      </w:pPr>
    </w:p>
    <w:p>
      <w:pPr>
        <w:jc w:val="both"/>
        <w:ind w:left="620" w:hanging="616"/>
        <w:spacing w:after="0" w:line="262"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Dutch Law: </w:t>
      </w:r>
      <w:r>
        <w:rPr>
          <w:rFonts w:ascii="Times New Roman" w:cs="Times New Roman" w:eastAsia="Times New Roman" w:hAnsi="Times New Roman"/>
          <w:sz w:val="17"/>
          <w:szCs w:val="17"/>
          <w:color w:val="auto"/>
        </w:rPr>
        <w:t>this opinion is confined to the laws with general applicability (</w:t>
      </w:r>
      <w:r>
        <w:rPr>
          <w:rFonts w:ascii="Times New Roman" w:cs="Times New Roman" w:eastAsia="Times New Roman" w:hAnsi="Times New Roman"/>
          <w:sz w:val="17"/>
          <w:szCs w:val="17"/>
          <w:i w:val="1"/>
          <w:iCs w:val="1"/>
          <w:color w:val="auto"/>
        </w:rPr>
        <w:t>wettelijke regels met algemene gelding</w:t>
      </w:r>
      <w:r>
        <w:rPr>
          <w:rFonts w:ascii="Times New Roman" w:cs="Times New Roman" w:eastAsia="Times New Roman" w:hAnsi="Times New Roman"/>
          <w:sz w:val="17"/>
          <w:szCs w:val="17"/>
          <w:color w:val="auto"/>
        </w:rPr>
        <w:t>) of the Netherlands and, insofar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they are directly applicable in the Netherlands, the European Union, all as they stand as at the date hereof and as such laws are currently interpreted in published authoritative case law of the courts of the Netherlands (</w:t>
      </w:r>
      <w:r>
        <w:rPr>
          <w:rFonts w:ascii="Times New Roman" w:cs="Times New Roman" w:eastAsia="Times New Roman" w:hAnsi="Times New Roman"/>
          <w:sz w:val="17"/>
          <w:szCs w:val="17"/>
          <w:b w:val="1"/>
          <w:bCs w:val="1"/>
          <w:i w:val="1"/>
          <w:iCs w:val="1"/>
          <w:color w:val="auto"/>
        </w:rPr>
        <w:t>Dutch law</w:t>
      </w:r>
      <w:r>
        <w:rPr>
          <w:rFonts w:ascii="Times New Roman" w:cs="Times New Roman" w:eastAsia="Times New Roman" w:hAnsi="Times New Roman"/>
          <w:sz w:val="17"/>
          <w:szCs w:val="17"/>
          <w:color w:val="auto"/>
        </w:rPr>
        <w:t>); accordingly, we express no opinion with regard to any other system of law (including the law of jurisdictions other than the Netherlands in which our firm has an office), even in cases where, in accordance with Dutch law, any foreign law should be applied; furthermore, we do not express any opinion on public international law or on the rules of or promulgated under any treaty or by any treaty organisation (except as otherwise stated above);</w:t>
      </w:r>
    </w:p>
    <w:p>
      <w:pPr>
        <w:spacing w:after="0" w:line="170" w:lineRule="exact"/>
        <w:rPr>
          <w:sz w:val="20"/>
          <w:szCs w:val="20"/>
          <w:color w:val="auto"/>
        </w:rPr>
      </w:pPr>
    </w:p>
    <w:p>
      <w:pPr>
        <w:ind w:left="620" w:hanging="616"/>
        <w:spacing w:after="0" w:line="296"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Changes in Law: </w:t>
      </w:r>
      <w:r>
        <w:rPr>
          <w:rFonts w:ascii="Times New Roman" w:cs="Times New Roman" w:eastAsia="Times New Roman" w:hAnsi="Times New Roman"/>
          <w:sz w:val="17"/>
          <w:szCs w:val="17"/>
          <w:color w:val="auto"/>
        </w:rPr>
        <w:t>we express no opinion that the future or continued performance of a party’s obligations or the consummation of the transaction will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contravene Dutch law, its application or interpretation if altered in the future;</w:t>
      </w:r>
    </w:p>
    <w:p>
      <w:pPr>
        <w:spacing w:after="0" w:line="139"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Territory of the Netherlands: </w:t>
      </w:r>
      <w:r>
        <w:rPr>
          <w:rFonts w:ascii="Times New Roman" w:cs="Times New Roman" w:eastAsia="Times New Roman" w:hAnsi="Times New Roman"/>
          <w:sz w:val="17"/>
          <w:szCs w:val="17"/>
          <w:color w:val="auto"/>
        </w:rPr>
        <w:t>all references in this opinion letter and its schedules to the Netherlands and Dutch law are to the European part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Netherlands and its law, respectively, only;</w:t>
      </w:r>
    </w:p>
    <w:p>
      <w:pPr>
        <w:spacing w:after="0" w:line="139"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Factual Statements: </w:t>
      </w:r>
      <w:r>
        <w:rPr>
          <w:rFonts w:ascii="Times New Roman" w:cs="Times New Roman" w:eastAsia="Times New Roman" w:hAnsi="Times New Roman"/>
          <w:sz w:val="17"/>
          <w:szCs w:val="17"/>
          <w:color w:val="auto"/>
        </w:rPr>
        <w:t>we have not been responsible for investigating or verifying the accuracy of the facts (or statements of foreign law) 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reasonableness of any statements of opinion or intention contained in any documents, or for verifying that no material facts or provisions have been omitted therefrom; nor have we verified the accuracy of any assumption made in this opinion letter;</w:t>
      </w:r>
    </w:p>
    <w:p>
      <w:pPr>
        <w:spacing w:after="0" w:line="156"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Representations: </w:t>
      </w:r>
      <w:r>
        <w:rPr>
          <w:rFonts w:ascii="Times New Roman" w:cs="Times New Roman" w:eastAsia="Times New Roman" w:hAnsi="Times New Roman"/>
          <w:sz w:val="17"/>
          <w:szCs w:val="17"/>
          <w:color w:val="auto"/>
        </w:rPr>
        <w:t>we express no opinion as to the correctness of any representation given by any of the parties (express or implied) under or by virtue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Documents, save if and insofar as the matters represented are the subject matter of a specific opinion herein;</w:t>
      </w:r>
    </w:p>
    <w:p>
      <w:pPr>
        <w:spacing w:after="0" w:line="139"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Effects of Opinion: </w:t>
      </w:r>
      <w:r>
        <w:rPr>
          <w:rFonts w:ascii="Times New Roman" w:cs="Times New Roman" w:eastAsia="Times New Roman" w:hAnsi="Times New Roman"/>
          <w:sz w:val="17"/>
          <w:szCs w:val="17"/>
          <w:color w:val="auto"/>
        </w:rPr>
        <w:t>the opinions expressed in this opinion letter have no bearing on declarations made, opinions expressed or statements of a similar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nature made by any of the parties in the Documents;</w:t>
      </w:r>
    </w:p>
    <w:p>
      <w:pPr>
        <w:spacing w:after="0" w:line="139"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Nature of Investigations: </w:t>
      </w:r>
      <w:r>
        <w:rPr>
          <w:rFonts w:ascii="Times New Roman" w:cs="Times New Roman" w:eastAsia="Times New Roman" w:hAnsi="Times New Roman"/>
          <w:sz w:val="17"/>
          <w:szCs w:val="17"/>
          <w:color w:val="auto"/>
        </w:rPr>
        <w:t>in rendering this opinion we have exclusively examined the Documents and we have conducted such investigations of Dutch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law as we have deemed necessary or advisable for the purpose of giving this opinion letter; as to matters of fact we have relied on the Documents and any other document we have deemed relevant, and on statements or certificates of public officials;</w:t>
      </w:r>
    </w:p>
    <w:p>
      <w:pPr>
        <w:spacing w:after="0" w:line="156" w:lineRule="exact"/>
        <w:rPr>
          <w:rFonts w:ascii="Times New Roman" w:cs="Times New Roman" w:eastAsia="Times New Roman" w:hAnsi="Times New Roman"/>
          <w:sz w:val="17"/>
          <w:szCs w:val="17"/>
          <w:color w:val="auto"/>
        </w:rPr>
      </w:pPr>
    </w:p>
    <w:p>
      <w:pPr>
        <w:jc w:val="both"/>
        <w:ind w:left="620" w:hanging="616"/>
        <w:spacing w:after="0" w:line="271"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Formulae and Cash Flows: </w:t>
      </w:r>
      <w:r>
        <w:rPr>
          <w:rFonts w:ascii="Times New Roman" w:cs="Times New Roman" w:eastAsia="Times New Roman" w:hAnsi="Times New Roman"/>
          <w:sz w:val="17"/>
          <w:szCs w:val="17"/>
          <w:color w:val="auto"/>
        </w:rPr>
        <w:t>we have not been responsible for verifying the accuracy or correctness of any formula or ratio (whether expressed in words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symbols) or financial schedule contained in the Documents, or any cash flow model used or to be used in connection with the transactions contemplated thereby, or whether such formula, ratio, financial schedule or cash flow model appropriately reflects the commercial arrangements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531495</wp:posOffset>
            </wp:positionV>
            <wp:extent cx="7138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4/10</w:t>
      </w:r>
    </w:p>
    <w:p>
      <w:pPr>
        <w:spacing w:after="0" w:line="200" w:lineRule="exact"/>
        <w:rPr>
          <w:sz w:val="20"/>
          <w:szCs w:val="20"/>
          <w:color w:val="auto"/>
        </w:rPr>
      </w:pPr>
    </w:p>
    <w:p>
      <w:pPr>
        <w:spacing w:after="0" w:line="224" w:lineRule="exact"/>
        <w:rPr>
          <w:sz w:val="20"/>
          <w:szCs w:val="20"/>
          <w:color w:val="auto"/>
        </w:rPr>
      </w:pPr>
    </w:p>
    <w:p>
      <w:pPr>
        <w:jc w:val="both"/>
        <w:ind w:left="620" w:hanging="616"/>
        <w:spacing w:after="0" w:line="27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Tax: </w:t>
      </w:r>
      <w:r>
        <w:rPr>
          <w:rFonts w:ascii="Times New Roman" w:cs="Times New Roman" w:eastAsia="Times New Roman" w:hAnsi="Times New Roman"/>
          <w:sz w:val="17"/>
          <w:szCs w:val="17"/>
          <w:color w:val="auto"/>
        </w:rPr>
        <w:t>we express no opinion in respect of the tax treatment of the Documents or the transactions contemplated thereby; you have not relied on any advice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us in relation to the tax implications of the Documents or the transactions contemplated thereby for any person, whether in the Netherlands or any other jurisdiction, or the suitability of any tax provisions in the Documents;</w:t>
      </w:r>
    </w:p>
    <w:p>
      <w:pPr>
        <w:spacing w:after="0" w:line="156"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Operational Licenses: </w:t>
      </w:r>
      <w:r>
        <w:rPr>
          <w:rFonts w:ascii="Times New Roman" w:cs="Times New Roman" w:eastAsia="Times New Roman" w:hAnsi="Times New Roman"/>
          <w:sz w:val="17"/>
          <w:szCs w:val="17"/>
          <w:color w:val="auto"/>
        </w:rPr>
        <w:t>we have not investigated whether the Company has obtained any of the operational licenses, permits and consents which it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 for the purpose of carrying on its business (including the transactions contemplated thereby);</w:t>
      </w:r>
    </w:p>
    <w:p>
      <w:pPr>
        <w:spacing w:after="0" w:line="139"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Anti-trust: </w:t>
      </w:r>
      <w:r>
        <w:rPr>
          <w:rFonts w:ascii="Times New Roman" w:cs="Times New Roman" w:eastAsia="Times New Roman" w:hAnsi="Times New Roman"/>
          <w:sz w:val="17"/>
          <w:szCs w:val="17"/>
          <w:color w:val="auto"/>
        </w:rPr>
        <w:t>we have not considered whether the transactions contemplated by the Documents comply with civil, regulatory or criminal anti-trust, cartel,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competition, public procurement or state aid laws, nor whether any filings, clearances, notifications or disclosures are required or advisable under such laws;</w:t>
      </w:r>
    </w:p>
    <w:p>
      <w:pPr>
        <w:spacing w:after="0" w:line="156"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Data Protection: </w:t>
      </w:r>
      <w:r>
        <w:rPr>
          <w:rFonts w:ascii="Times New Roman" w:cs="Times New Roman" w:eastAsia="Times New Roman" w:hAnsi="Times New Roman"/>
          <w:sz w:val="17"/>
          <w:szCs w:val="17"/>
          <w:color w:val="auto"/>
        </w:rPr>
        <w:t>we express no opinion on any data protection or insider trading laws of any jurisdiction (including the Netherlands);</w:t>
      </w:r>
    </w:p>
    <w:p>
      <w:pPr>
        <w:spacing w:after="0" w:line="218"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Legal Concepts: </w:t>
      </w:r>
      <w:r>
        <w:rPr>
          <w:rFonts w:ascii="Times New Roman" w:cs="Times New Roman" w:eastAsia="Times New Roman" w:hAnsi="Times New Roman"/>
          <w:sz w:val="17"/>
          <w:szCs w:val="17"/>
          <w:color w:val="auto"/>
        </w:rPr>
        <w:t>Dutch legal concepts are expressed in English terms and not in their original Dutch terms; the concepts concerned may not be identical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the concepts described by the same English terms as they exist in the laws of other jurisdictions;</w:t>
      </w:r>
    </w:p>
    <w:p>
      <w:pPr>
        <w:spacing w:after="0" w:line="139"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Governing Law: </w:t>
      </w:r>
      <w:r>
        <w:rPr>
          <w:rFonts w:ascii="Times New Roman" w:cs="Times New Roman" w:eastAsia="Times New Roman" w:hAnsi="Times New Roman"/>
          <w:sz w:val="17"/>
          <w:szCs w:val="17"/>
          <w:color w:val="auto"/>
        </w:rPr>
        <w:t>this opinion and any non-contractual obligations arising out of or in relation to this opinion are governed by Dutch law;</w:t>
      </w:r>
    </w:p>
    <w:p>
      <w:pPr>
        <w:spacing w:after="0" w:line="218" w:lineRule="exact"/>
        <w:rPr>
          <w:rFonts w:ascii="Times New Roman" w:cs="Times New Roman" w:eastAsia="Times New Roman" w:hAnsi="Times New Roman"/>
          <w:sz w:val="17"/>
          <w:szCs w:val="17"/>
          <w:color w:val="auto"/>
        </w:rPr>
      </w:pPr>
    </w:p>
    <w:p>
      <w:pPr>
        <w:jc w:val="both"/>
        <w:ind w:left="620" w:hanging="616"/>
        <w:spacing w:after="0" w:line="268"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Jurisdiction</w:t>
      </w:r>
      <w:r>
        <w:rPr>
          <w:rFonts w:ascii="Times New Roman" w:cs="Times New Roman" w:eastAsia="Times New Roman" w:hAnsi="Times New Roman"/>
          <w:sz w:val="17"/>
          <w:szCs w:val="17"/>
          <w:color w:val="auto"/>
        </w:rPr>
        <w:t>: the court of Amsterdam, the Netherlands shall have exclusive jurisdiction, to which you and we submit, in relation to all disputes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claims for set-off and counterclaims) arising out of or in connection with this opinion, including (without limitation) in connection with (i) the creation, effect or interpretation of, or the legal relationships established by, this opinion; and (ii) any non-contractual obligations arising out of or in relation to this opinion; and</w:t>
      </w:r>
    </w:p>
    <w:p>
      <w:pPr>
        <w:spacing w:after="0" w:line="162"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Date of Opinion: </w:t>
      </w:r>
      <w:r>
        <w:rPr>
          <w:rFonts w:ascii="Times New Roman" w:cs="Times New Roman" w:eastAsia="Times New Roman" w:hAnsi="Times New Roman"/>
          <w:sz w:val="17"/>
          <w:szCs w:val="17"/>
          <w:color w:val="auto"/>
        </w:rPr>
        <w:t>this opinion speaks as of the date hereof; no obligation is assumed to update this opinion or to inform any person of any changes of law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other matters coming to our knowledge and occurring after the date hereof, which may affect this opinion in any respect.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w:t>
      </w:r>
    </w:p>
    <w:p>
      <w:pPr>
        <w:spacing w:after="0" w:line="221" w:lineRule="exact"/>
        <w:rPr>
          <w:sz w:val="20"/>
          <w:szCs w:val="20"/>
          <w:color w:val="auto"/>
        </w:rPr>
      </w:pPr>
    </w:p>
    <w:p>
      <w:pPr>
        <w:jc w:val="both"/>
        <w:ind w:firstLine="4"/>
        <w:spacing w:after="0" w:line="263" w:lineRule="auto"/>
        <w:tabs>
          <w:tab w:leader="none" w:pos="18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On the basis stated in paragraph 3,‎ and subject to the assumptions in Schedule‎ 1, the qualifications in Schedule‎ 2, we are of the opinion that (i) subject to receipt by the Company of the payment of the exercise price in full, or other satisfaction of the exercise price of the Stock Options as provided for in the Option Plan, the Plan Shares, when issued pursuant to the terms of the Option Plan and accepted by the acquiror(s), will be validly issued, fully paid and non-assessable and (ii) upon settlement of the vested RSUs and PSUs in accordance with the Option Plan, the Plan Shares, when issued pursuant to the terms of the Option Plan and accepted by the acquiror(s),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400685</wp:posOffset>
            </wp:positionV>
            <wp:extent cx="7138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7"/>
          <w:szCs w:val="17"/>
          <w:b w:val="1"/>
          <w:bCs w:val="1"/>
          <w:color w:val="auto"/>
        </w:rPr>
        <w:t>5/10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Benefit of opinion</w:t>
      </w:r>
    </w:p>
    <w:p>
      <w:pPr>
        <w:spacing w:after="0" w:line="221" w:lineRule="exact"/>
        <w:rPr>
          <w:sz w:val="20"/>
          <w:szCs w:val="20"/>
          <w:color w:val="auto"/>
        </w:rPr>
      </w:pPr>
    </w:p>
    <w:p>
      <w:pPr>
        <w:jc w:val="both"/>
        <w:ind w:firstLine="4"/>
        <w:spacing w:after="0" w:line="273" w:lineRule="auto"/>
        <w:tabs>
          <w:tab w:leader="none" w:pos="1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This opinion is addressed to you in relation to and as an exhibit to the Registration Statement and, except with our prior written consent, is not to be transmitted or disclosed to any other person, other than as an exhibit to the Registration Statement and is not to be used or relied upon by you or by any other person for any purpose other than in connection with the filing of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6.     This opinion letter and any non-contractual obligations arising out of or in relation to this opinion are governed by the laws of the Netherlands. </w:t>
      </w:r>
      <w:r>
        <w:rPr>
          <w:rFonts w:ascii="Times New Roman" w:cs="Times New Roman" w:eastAsia="Times New Roman" w:hAnsi="Times New Roman"/>
          <w:sz w:val="28"/>
          <w:szCs w:val="28"/>
          <w:b w:val="1"/>
          <w:bCs w:val="1"/>
          <w:color w:val="auto"/>
          <w:vertAlign w:val="superscript"/>
        </w:rPr>
        <w:t>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w:t>
      </w:r>
    </w:p>
    <w:p>
      <w:pPr>
        <w:spacing w:after="0" w:line="221" w:lineRule="exact"/>
        <w:rPr>
          <w:sz w:val="20"/>
          <w:szCs w:val="20"/>
          <w:color w:val="auto"/>
        </w:rPr>
      </w:pPr>
    </w:p>
    <w:p>
      <w:pPr>
        <w:jc w:val="both"/>
        <w:ind w:firstLine="4"/>
        <w:spacing w:after="0" w:line="273"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We hereby consent to the filing of this legal opinion letter as an exhibit to the Registration Statement. In giving the consent set out in the previous sentence, we do not thereby admit or imply that we are in the category of persons whose consent is required under Section 7 of the Securities Act or any rules and regulations of the SEC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Freshfields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Freshfields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17843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156" w:lineRule="exact"/>
        <w:rPr>
          <w:sz w:val="20"/>
          <w:szCs w:val="20"/>
          <w:color w:val="auto"/>
        </w:rPr>
      </w:pPr>
    </w:p>
    <w:p>
      <w:pPr>
        <w:ind w:left="120" w:hanging="116"/>
        <w:spacing w:after="0"/>
        <w:tabs>
          <w:tab w:leader="none" w:pos="1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general terms and conditions of Freshfields LLP can be found at www.freshfields.com.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7138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7"/>
          <w:szCs w:val="17"/>
          <w:b w:val="1"/>
          <w:bCs w:val="1"/>
          <w:color w:val="auto"/>
        </w:rPr>
        <w:t>6/10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ASSUMPTIONS</w:t>
      </w:r>
    </w:p>
    <w:p>
      <w:pPr>
        <w:spacing w:after="0" w:line="20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In considering the Opinion Documents and in rendering this opinion we have (with your consent and, unless specifically stated otherwise, without any further enquiry) assumed that:</w:t>
      </w:r>
    </w:p>
    <w:p>
      <w:pPr>
        <w:spacing w:after="0" w:line="144" w:lineRule="exact"/>
        <w:rPr>
          <w:sz w:val="20"/>
          <w:szCs w:val="20"/>
          <w:color w:val="auto"/>
        </w:rPr>
      </w:pPr>
    </w:p>
    <w:p>
      <w:pPr>
        <w:ind w:left="620" w:hanging="616"/>
        <w:spacing w:after="0" w:line="296"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Authenticity: </w:t>
      </w:r>
      <w:r>
        <w:rPr>
          <w:rFonts w:ascii="Times New Roman" w:cs="Times New Roman" w:eastAsia="Times New Roman" w:hAnsi="Times New Roman"/>
          <w:sz w:val="17"/>
          <w:szCs w:val="17"/>
          <w:color w:val="auto"/>
        </w:rPr>
        <w:t>all signatures, stamps and seals on all documents in connection with this opinion (whether as originals as copies or electronically)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genuine and all such documents are authentic, accurate and complete;</w:t>
      </w:r>
    </w:p>
    <w:p>
      <w:pPr>
        <w:spacing w:after="0" w:line="139"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Copies: </w:t>
      </w:r>
      <w:r>
        <w:rPr>
          <w:rFonts w:ascii="Times New Roman" w:cs="Times New Roman" w:eastAsia="Times New Roman" w:hAnsi="Times New Roman"/>
          <w:sz w:val="17"/>
          <w:szCs w:val="17"/>
          <w:color w:val="auto"/>
        </w:rPr>
        <w:t>all documents retrieved by us or supplied to us electronically (whether in portable document format (PDF) or as scanned copies), as photocopies,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facsimile copies or e-mail conformed copies are in conformity with the originals;</w:t>
      </w:r>
    </w:p>
    <w:p>
      <w:pPr>
        <w:spacing w:after="0" w:line="139"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Amendments: </w:t>
      </w:r>
      <w:r>
        <w:rPr>
          <w:rFonts w:ascii="Times New Roman" w:cs="Times New Roman" w:eastAsia="Times New Roman" w:hAnsi="Times New Roman"/>
          <w:sz w:val="17"/>
          <w:szCs w:val="17"/>
          <w:color w:val="auto"/>
        </w:rPr>
        <w:t>none of the Documents has since its execution been amended, supplemented, rescinded, terminated by any of the parties thereto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declared null and void by a competent court;</w:t>
      </w:r>
    </w:p>
    <w:p>
      <w:pPr>
        <w:spacing w:after="0" w:line="139"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Deed of Incorporation</w:t>
      </w:r>
      <w:r>
        <w:rPr>
          <w:rFonts w:ascii="Times New Roman" w:cs="Times New Roman" w:eastAsia="Times New Roman" w:hAnsi="Times New Roman"/>
          <w:sz w:val="17"/>
          <w:szCs w:val="17"/>
          <w:color w:val="auto"/>
        </w:rPr>
        <w:t>: the Deed of Incorporation is a valid notarial deed (</w:t>
      </w:r>
      <w:r>
        <w:rPr>
          <w:rFonts w:ascii="Times New Roman" w:cs="Times New Roman" w:eastAsia="Times New Roman" w:hAnsi="Times New Roman"/>
          <w:sz w:val="17"/>
          <w:szCs w:val="17"/>
          <w:i w:val="1"/>
          <w:iCs w:val="1"/>
          <w:color w:val="auto"/>
        </w:rPr>
        <w:t>authentieke akte</w:t>
      </w:r>
      <w:r>
        <w:rPr>
          <w:rFonts w:ascii="Times New Roman" w:cs="Times New Roman" w:eastAsia="Times New Roman" w:hAnsi="Times New Roman"/>
          <w:sz w:val="17"/>
          <w:szCs w:val="17"/>
          <w:color w:val="auto"/>
        </w:rPr>
        <w:t>), the contents of which were correct and complete as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date thereof and there were no defects in the incorporation of the Company (not appearing on the face of the Deed of Incorporation) on the basis of which a court might dissolve the Company or deem it has never existed;</w:t>
      </w:r>
    </w:p>
    <w:p>
      <w:pPr>
        <w:spacing w:after="0" w:line="156"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Registration: </w:t>
      </w:r>
      <w:r>
        <w:rPr>
          <w:rFonts w:ascii="Times New Roman" w:cs="Times New Roman" w:eastAsia="Times New Roman" w:hAnsi="Times New Roman"/>
          <w:sz w:val="17"/>
          <w:szCs w:val="17"/>
          <w:color w:val="auto"/>
        </w:rPr>
        <w:t>the Registration Statement has been or will have been filed with the SEC and declared effective pursuant to the Securities Act;</w:t>
      </w:r>
    </w:p>
    <w:p>
      <w:pPr>
        <w:spacing w:after="0" w:line="218" w:lineRule="exact"/>
        <w:rPr>
          <w:rFonts w:ascii="Times New Roman" w:cs="Times New Roman" w:eastAsia="Times New Roman" w:hAnsi="Times New Roman"/>
          <w:sz w:val="17"/>
          <w:szCs w:val="17"/>
          <w:color w:val="auto"/>
        </w:rPr>
      </w:pPr>
    </w:p>
    <w:p>
      <w:pPr>
        <w:jc w:val="both"/>
        <w:ind w:left="620" w:hanging="616"/>
        <w:spacing w:after="0" w:line="264"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Corporate Documents: </w:t>
      </w:r>
      <w:r>
        <w:rPr>
          <w:rFonts w:ascii="Times New Roman" w:cs="Times New Roman" w:eastAsia="Times New Roman" w:hAnsi="Times New Roman"/>
          <w:sz w:val="17"/>
          <w:szCs w:val="17"/>
          <w:color w:val="auto"/>
        </w:rPr>
        <w:t>at the time when any Corporate Document was signed or will be signed, as the case may be, each person who is a party to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signatory of that Corporate Document, as applicable (i) had been validly incorporated, was validly existing and, to the extent relevant in such party’s jurisdiction, in good standing under the laws applicable to such party, (ii) had all requisite power, authority and legal capacity to sign that Corporate Document and to perform all juridical acts (</w:t>
      </w:r>
      <w:r>
        <w:rPr>
          <w:rFonts w:ascii="Times New Roman" w:cs="Times New Roman" w:eastAsia="Times New Roman" w:hAnsi="Times New Roman"/>
          <w:sz w:val="17"/>
          <w:szCs w:val="17"/>
          <w:i w:val="1"/>
          <w:iCs w:val="1"/>
          <w:color w:val="auto"/>
        </w:rPr>
        <w:t>rechtshandelingen</w:t>
      </w:r>
      <w:r>
        <w:rPr>
          <w:rFonts w:ascii="Times New Roman" w:cs="Times New Roman" w:eastAsia="Times New Roman" w:hAnsi="Times New Roman"/>
          <w:sz w:val="17"/>
          <w:szCs w:val="17"/>
          <w:color w:val="auto"/>
        </w:rPr>
        <w:t>) and other actions contemplated thereby and (iii) has validly signed that Corporate Document;</w:t>
      </w:r>
    </w:p>
    <w:p>
      <w:pPr>
        <w:spacing w:after="0" w:line="168"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Extract: </w:t>
      </w:r>
      <w:r>
        <w:rPr>
          <w:rFonts w:ascii="Times New Roman" w:cs="Times New Roman" w:eastAsia="Times New Roman" w:hAnsi="Times New Roman"/>
          <w:sz w:val="17"/>
          <w:szCs w:val="17"/>
          <w:color w:val="auto"/>
        </w:rPr>
        <w:t>the information set forth in the Extract is accurate and complete on the date hereof;</w:t>
      </w:r>
    </w:p>
    <w:p>
      <w:pPr>
        <w:spacing w:after="0" w:line="218" w:lineRule="exact"/>
        <w:rPr>
          <w:rFonts w:ascii="Times New Roman" w:cs="Times New Roman" w:eastAsia="Times New Roman" w:hAnsi="Times New Roman"/>
          <w:sz w:val="17"/>
          <w:szCs w:val="17"/>
          <w:color w:val="auto"/>
        </w:rPr>
      </w:pPr>
    </w:p>
    <w:p>
      <w:pPr>
        <w:jc w:val="both"/>
        <w:ind w:left="620" w:hanging="616"/>
        <w:spacing w:after="0" w:line="257"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No Insolvency</w:t>
      </w:r>
      <w:r>
        <w:rPr>
          <w:rFonts w:ascii="Times New Roman" w:cs="Times New Roman" w:eastAsia="Times New Roman" w:hAnsi="Times New Roman"/>
          <w:sz w:val="17"/>
          <w:szCs w:val="17"/>
          <w:color w:val="auto"/>
        </w:rPr>
        <w:t>: (a) the Company has not been declared bankrupt (</w:t>
      </w:r>
      <w:r>
        <w:rPr>
          <w:rFonts w:ascii="Times New Roman" w:cs="Times New Roman" w:eastAsia="Times New Roman" w:hAnsi="Times New Roman"/>
          <w:sz w:val="17"/>
          <w:szCs w:val="17"/>
          <w:i w:val="1"/>
          <w:iCs w:val="1"/>
          <w:color w:val="auto"/>
        </w:rPr>
        <w:t>failliet verklaard</w:t>
      </w:r>
      <w:r>
        <w:rPr>
          <w:rFonts w:ascii="Times New Roman" w:cs="Times New Roman" w:eastAsia="Times New Roman" w:hAnsi="Times New Roman"/>
          <w:sz w:val="17"/>
          <w:szCs w:val="17"/>
          <w:color w:val="auto"/>
        </w:rPr>
        <w:t>), (b) the Company has not been granted a (provisional) suspension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payments (</w:t>
      </w:r>
      <w:r>
        <w:rPr>
          <w:rFonts w:ascii="Times New Roman" w:cs="Times New Roman" w:eastAsia="Times New Roman" w:hAnsi="Times New Roman"/>
          <w:sz w:val="17"/>
          <w:szCs w:val="17"/>
          <w:i w:val="1"/>
          <w:iCs w:val="1"/>
          <w:color w:val="auto"/>
        </w:rPr>
        <w:t>(voorlopige) surseance van betaling</w:t>
      </w:r>
      <w:r>
        <w:rPr>
          <w:rFonts w:ascii="Times New Roman" w:cs="Times New Roman" w:eastAsia="Times New Roman" w:hAnsi="Times New Roman"/>
          <w:sz w:val="17"/>
          <w:szCs w:val="17"/>
          <w:color w:val="auto"/>
        </w:rPr>
        <w:t>), (c) the Company has not become subject to a (confidential or public) pre-insolvency private plan procedure (</w:t>
      </w:r>
      <w:r>
        <w:rPr>
          <w:rFonts w:ascii="Times New Roman" w:cs="Times New Roman" w:eastAsia="Times New Roman" w:hAnsi="Times New Roman"/>
          <w:sz w:val="17"/>
          <w:szCs w:val="17"/>
          <w:i w:val="1"/>
          <w:iCs w:val="1"/>
          <w:color w:val="auto"/>
        </w:rPr>
        <w:t>onderhands akkoordprocedure</w:t>
      </w:r>
      <w:r>
        <w:rPr>
          <w:rFonts w:ascii="Times New Roman" w:cs="Times New Roman" w:eastAsia="Times New Roman" w:hAnsi="Times New Roman"/>
          <w:sz w:val="17"/>
          <w:szCs w:val="17"/>
          <w:color w:val="auto"/>
        </w:rPr>
        <w:t xml:space="preserve">), (d) the Company has not become subject to any of the other insolvency proceedings referred to in Section 1(1) of Regulation (EU) 2015/848 of 20 May 2015 on insolvency proceedings (recast) (the </w:t>
      </w:r>
      <w:r>
        <w:rPr>
          <w:rFonts w:ascii="Times New Roman" w:cs="Times New Roman" w:eastAsia="Times New Roman" w:hAnsi="Times New Roman"/>
          <w:sz w:val="17"/>
          <w:szCs w:val="17"/>
          <w:b w:val="1"/>
          <w:bCs w:val="1"/>
          <w:i w:val="1"/>
          <w:iCs w:val="1"/>
          <w:color w:val="auto"/>
        </w:rPr>
        <w:t>Insolvency Regulation</w:t>
      </w:r>
      <w:r>
        <w:rPr>
          <w:rFonts w:ascii="Times New Roman" w:cs="Times New Roman" w:eastAsia="Times New Roman" w:hAnsi="Times New Roman"/>
          <w:sz w:val="17"/>
          <w:szCs w:val="17"/>
          <w:color w:val="auto"/>
        </w:rPr>
        <w:t>), (e) the Company has not been dissolved (</w:t>
      </w:r>
      <w:r>
        <w:rPr>
          <w:rFonts w:ascii="Times New Roman" w:cs="Times New Roman" w:eastAsia="Times New Roman" w:hAnsi="Times New Roman"/>
          <w:sz w:val="17"/>
          <w:szCs w:val="17"/>
          <w:i w:val="1"/>
          <w:iCs w:val="1"/>
          <w:color w:val="auto"/>
        </w:rPr>
        <w:t>ontbonden</w:t>
      </w:r>
      <w:r>
        <w:rPr>
          <w:rFonts w:ascii="Times New Roman" w:cs="Times New Roman" w:eastAsia="Times New Roman" w:hAnsi="Times New Roman"/>
          <w:sz w:val="17"/>
          <w:szCs w:val="17"/>
          <w:color w:val="auto"/>
        </w:rPr>
        <w:t>), (f) the Company has not ceased to exist pursuant to a legal merger or demerger (</w:t>
      </w:r>
      <w:r>
        <w:rPr>
          <w:rFonts w:ascii="Times New Roman" w:cs="Times New Roman" w:eastAsia="Times New Roman" w:hAnsi="Times New Roman"/>
          <w:sz w:val="17"/>
          <w:szCs w:val="17"/>
          <w:i w:val="1"/>
          <w:iCs w:val="1"/>
          <w:color w:val="auto"/>
        </w:rPr>
        <w:t>juridische fusie of splitsing</w:t>
      </w:r>
      <w:r>
        <w:rPr>
          <w:rFonts w:ascii="Times New Roman" w:cs="Times New Roman" w:eastAsia="Times New Roman" w:hAnsi="Times New Roman"/>
          <w:sz w:val="17"/>
          <w:szCs w:val="17"/>
          <w:color w:val="auto"/>
        </w:rPr>
        <w:t>), and (g) no order for the administration (</w:t>
      </w:r>
      <w:r>
        <w:rPr>
          <w:rFonts w:ascii="Times New Roman" w:cs="Times New Roman" w:eastAsia="Times New Roman" w:hAnsi="Times New Roman"/>
          <w:sz w:val="17"/>
          <w:szCs w:val="17"/>
          <w:i w:val="1"/>
          <w:iCs w:val="1"/>
          <w:color w:val="auto"/>
        </w:rPr>
        <w:t>bewind</w:t>
      </w:r>
      <w:r>
        <w:rPr>
          <w:rFonts w:ascii="Times New Roman" w:cs="Times New Roman" w:eastAsia="Times New Roman" w:hAnsi="Times New Roman"/>
          <w:sz w:val="17"/>
          <w:szCs w:val="17"/>
          <w:color w:val="auto"/>
        </w:rPr>
        <w:t>) of the assets of the Company has been made; these assumptions are supported by our enquiries today with the Commercial Register, the Central Insolvency Register (</w:t>
      </w:r>
      <w:r>
        <w:rPr>
          <w:rFonts w:ascii="Times New Roman" w:cs="Times New Roman" w:eastAsia="Times New Roman" w:hAnsi="Times New Roman"/>
          <w:sz w:val="17"/>
          <w:szCs w:val="17"/>
          <w:i w:val="1"/>
          <w:iCs w:val="1"/>
          <w:color w:val="auto"/>
        </w:rPr>
        <w:t>Centraal Insolventieregister</w:t>
      </w:r>
      <w:r>
        <w:rPr>
          <w:rFonts w:ascii="Times New Roman" w:cs="Times New Roman" w:eastAsia="Times New Roman" w:hAnsi="Times New Roman"/>
          <w:sz w:val="17"/>
          <w:szCs w:val="17"/>
          <w:color w:val="auto"/>
        </w:rPr>
        <w:t>) and the EU Registrations list with the Central Insolvency Register and the court in Amsterdam and The Hague, which have not revealed any information that any such event has occurred with respect to the Company; however, such enquiries are not conclusive evidence that no such events have occurred; additionally, in the event a confidential pre-insolvency private</w:t>
      </w:r>
    </w:p>
    <w:p>
      <w:pPr>
        <w:spacing w:after="0" w:line="3" w:lineRule="exact"/>
        <w:rPr>
          <w:rFonts w:ascii="Times New Roman" w:cs="Times New Roman" w:eastAsia="Times New Roman" w:hAnsi="Times New Roman"/>
          <w:sz w:val="17"/>
          <w:szCs w:val="17"/>
          <w:color w:val="auto"/>
        </w:rPr>
      </w:pPr>
    </w:p>
    <w:p>
      <w:pPr>
        <w:ind w:left="62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procedure (</w:t>
      </w:r>
      <w:r>
        <w:rPr>
          <w:rFonts w:ascii="Times New Roman" w:cs="Times New Roman" w:eastAsia="Times New Roman" w:hAnsi="Times New Roman"/>
          <w:sz w:val="17"/>
          <w:szCs w:val="17"/>
          <w:i w:val="1"/>
          <w:iCs w:val="1"/>
          <w:color w:val="auto"/>
        </w:rPr>
        <w:t>onderhands akkoordprocedure</w:t>
      </w:r>
      <w:r>
        <w:rPr>
          <w:rFonts w:ascii="Times New Roman" w:cs="Times New Roman" w:eastAsia="Times New Roman" w:hAnsi="Times New Roman"/>
          <w:sz w:val="17"/>
          <w:szCs w:val="17"/>
          <w:color w:val="auto"/>
        </w:rPr>
        <w:t>) as referred to in paragraph (h)(c)‎ should occur with respect to the Company, the above-mentioned registers will not make notice of such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396875</wp:posOffset>
            </wp:positionV>
            <wp:extent cx="7138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7"/>
          <w:szCs w:val="17"/>
          <w:b w:val="1"/>
          <w:bCs w:val="1"/>
          <w:color w:val="auto"/>
        </w:rPr>
        <w:t>7/10</w:t>
      </w:r>
    </w:p>
    <w:p>
      <w:pPr>
        <w:spacing w:after="0" w:line="200" w:lineRule="exact"/>
        <w:rPr>
          <w:sz w:val="20"/>
          <w:szCs w:val="20"/>
          <w:color w:val="auto"/>
        </w:rPr>
      </w:pPr>
    </w:p>
    <w:p>
      <w:pPr>
        <w:spacing w:after="0" w:line="224" w:lineRule="exact"/>
        <w:rPr>
          <w:sz w:val="20"/>
          <w:szCs w:val="20"/>
          <w:color w:val="auto"/>
        </w:rPr>
      </w:pPr>
    </w:p>
    <w:p>
      <w:pPr>
        <w:ind w:left="620" w:hanging="616"/>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Articles of Association: </w:t>
      </w:r>
      <w:r>
        <w:rPr>
          <w:rFonts w:ascii="Times New Roman" w:cs="Times New Roman" w:eastAsia="Times New Roman" w:hAnsi="Times New Roman"/>
          <w:sz w:val="17"/>
          <w:szCs w:val="17"/>
          <w:color w:val="auto"/>
        </w:rPr>
        <w:t>the Articles of Association have not been amended;</w:t>
      </w:r>
    </w:p>
    <w:p>
      <w:pPr>
        <w:spacing w:after="0" w:line="218"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Resolutions: </w:t>
      </w:r>
      <w:r>
        <w:rPr>
          <w:rFonts w:ascii="Times New Roman" w:cs="Times New Roman" w:eastAsia="Times New Roman" w:hAnsi="Times New Roman"/>
          <w:sz w:val="17"/>
          <w:szCs w:val="17"/>
          <w:color w:val="auto"/>
        </w:rPr>
        <w:t>the Resolutions have not been revoked (</w:t>
      </w:r>
      <w:r>
        <w:rPr>
          <w:rFonts w:ascii="Times New Roman" w:cs="Times New Roman" w:eastAsia="Times New Roman" w:hAnsi="Times New Roman"/>
          <w:sz w:val="17"/>
          <w:szCs w:val="17"/>
          <w:i w:val="1"/>
          <w:iCs w:val="1"/>
          <w:color w:val="auto"/>
        </w:rPr>
        <w:t>ingetrokken</w:t>
      </w:r>
      <w:r>
        <w:rPr>
          <w:rFonts w:ascii="Times New Roman" w:cs="Times New Roman" w:eastAsia="Times New Roman" w:hAnsi="Times New Roman"/>
          <w:sz w:val="17"/>
          <w:szCs w:val="17"/>
          <w:color w:val="auto"/>
        </w:rPr>
        <w:t>) or amended and have not been and will not be declared null and void by a competent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court and the Resolutions have not been, and will not be, amended, revoked (</w:t>
      </w:r>
      <w:r>
        <w:rPr>
          <w:rFonts w:ascii="Times New Roman" w:cs="Times New Roman" w:eastAsia="Times New Roman" w:hAnsi="Times New Roman"/>
          <w:sz w:val="17"/>
          <w:szCs w:val="17"/>
          <w:i w:val="1"/>
          <w:iCs w:val="1"/>
          <w:color w:val="auto"/>
        </w:rPr>
        <w:t>ingetrokken</w:t>
      </w:r>
      <w:r>
        <w:rPr>
          <w:rFonts w:ascii="Times New Roman" w:cs="Times New Roman" w:eastAsia="Times New Roman" w:hAnsi="Times New Roman"/>
          <w:sz w:val="17"/>
          <w:szCs w:val="17"/>
          <w:color w:val="auto"/>
        </w:rPr>
        <w:t>), terminated or declared null and void by a competent court and the factual statements and confirmations set out in the Resolutions are true and correct;</w:t>
      </w:r>
    </w:p>
    <w:p>
      <w:pPr>
        <w:spacing w:after="0" w:line="156"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Corporate Benefit: </w:t>
      </w:r>
      <w:r>
        <w:rPr>
          <w:rFonts w:ascii="Times New Roman" w:cs="Times New Roman" w:eastAsia="Times New Roman" w:hAnsi="Times New Roman"/>
          <w:sz w:val="17"/>
          <w:szCs w:val="17"/>
          <w:color w:val="auto"/>
        </w:rPr>
        <w:t>the Option Plan and the transactions contemplated thereby are in the corporate interests (</w:t>
      </w:r>
      <w:r>
        <w:rPr>
          <w:rFonts w:ascii="Times New Roman" w:cs="Times New Roman" w:eastAsia="Times New Roman" w:hAnsi="Times New Roman"/>
          <w:sz w:val="17"/>
          <w:szCs w:val="17"/>
          <w:i w:val="1"/>
          <w:iCs w:val="1"/>
          <w:color w:val="auto"/>
        </w:rPr>
        <w:t>vennootschappelijk belang</w:t>
      </w:r>
      <w:r>
        <w:rPr>
          <w:rFonts w:ascii="Times New Roman" w:cs="Times New Roman" w:eastAsia="Times New Roman" w:hAnsi="Times New Roman"/>
          <w:sz w:val="17"/>
          <w:szCs w:val="17"/>
          <w:color w:val="auto"/>
        </w:rPr>
        <w:t>) of the Company;</w:t>
      </w:r>
    </w:p>
    <w:p>
      <w:pPr>
        <w:spacing w:after="0" w:line="218" w:lineRule="exact"/>
        <w:rPr>
          <w:rFonts w:ascii="Times New Roman" w:cs="Times New Roman" w:eastAsia="Times New Roman" w:hAnsi="Times New Roman"/>
          <w:sz w:val="17"/>
          <w:szCs w:val="17"/>
          <w:color w:val="auto"/>
        </w:rPr>
      </w:pPr>
    </w:p>
    <w:p>
      <w:pPr>
        <w:jc w:val="both"/>
        <w:ind w:left="620" w:hanging="616"/>
        <w:spacing w:after="0" w:line="26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Plan Option Rights: </w:t>
      </w:r>
      <w:r>
        <w:rPr>
          <w:rFonts w:ascii="Times New Roman" w:cs="Times New Roman" w:eastAsia="Times New Roman" w:hAnsi="Times New Roman"/>
          <w:sz w:val="17"/>
          <w:szCs w:val="17"/>
          <w:color w:val="auto"/>
        </w:rPr>
        <w:t>all Plan Option Rights have been or shall be validly granted by the corporate body authorized to do so and accepted in accordance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the terms and conditions stipulated by or pursuant to the Option Plan, (ii) any pre-emption rights in respect of the granting of Plan Option Rights have been or shall be validly excluded by the corporate body authorized to do so and (iii) upon each issuance of Plan Shares, the relevant Plan Option Rights to subscribe for such Plan Shares has been validly exercised in accordance with the terms and conditions applicable to such Plan Option Right;</w:t>
      </w:r>
    </w:p>
    <w:p>
      <w:pPr>
        <w:spacing w:after="0" w:line="162" w:lineRule="exact"/>
        <w:rPr>
          <w:rFonts w:ascii="Times New Roman" w:cs="Times New Roman" w:eastAsia="Times New Roman" w:hAnsi="Times New Roman"/>
          <w:sz w:val="17"/>
          <w:szCs w:val="17"/>
          <w:color w:val="auto"/>
        </w:rPr>
      </w:pPr>
    </w:p>
    <w:p>
      <w:pPr>
        <w:jc w:val="both"/>
        <w:ind w:left="620" w:hanging="616"/>
        <w:spacing w:after="0" w:line="26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Exercise Price: </w:t>
      </w:r>
      <w:r>
        <w:rPr>
          <w:rFonts w:ascii="Times New Roman" w:cs="Times New Roman" w:eastAsia="Times New Roman" w:hAnsi="Times New Roman"/>
          <w:sz w:val="17"/>
          <w:szCs w:val="17"/>
          <w:color w:val="auto"/>
        </w:rPr>
        <w:t>the exercise price per Stock Option for one Plan Share shall at least equal the aggregate nominal value of such Plan Share, the exercise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price shall be in Euro and, where relevant, the Company shall have consented to payment in a currency other than Euro and the Company shall in case of a payment in a currency other than Euro have obtained a statement as referred to in Section 2:93a paragraphs 2 and 6 of the Dutch Civil Code on the corresponding amount in Euro;</w:t>
      </w:r>
    </w:p>
    <w:p>
      <w:pPr>
        <w:spacing w:after="0" w:line="162"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Payment Nominal Value Plan Shares: </w:t>
      </w:r>
      <w:r>
        <w:rPr>
          <w:rFonts w:ascii="Times New Roman" w:cs="Times New Roman" w:eastAsia="Times New Roman" w:hAnsi="Times New Roman"/>
          <w:sz w:val="17"/>
          <w:szCs w:val="17"/>
          <w:color w:val="auto"/>
        </w:rPr>
        <w:t>the nominal value per Plan Share shall be paid-up by either (i) the holder of Stock Options or (ii) the Company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 of its freely distributable reserve in accordance with the Distribution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382270</wp:posOffset>
            </wp:positionV>
            <wp:extent cx="7138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7"/>
          <w:szCs w:val="17"/>
          <w:b w:val="1"/>
          <w:bCs w:val="1"/>
          <w:color w:val="auto"/>
        </w:rPr>
        <w:t>8/10</w:t>
      </w:r>
    </w:p>
    <w:p>
      <w:pPr>
        <w:spacing w:after="0" w:line="200" w:lineRule="exact"/>
        <w:rPr>
          <w:sz w:val="20"/>
          <w:szCs w:val="20"/>
          <w:color w:val="auto"/>
        </w:rPr>
      </w:pPr>
    </w:p>
    <w:p>
      <w:pPr>
        <w:spacing w:after="0" w:line="224" w:lineRule="exact"/>
        <w:rPr>
          <w:sz w:val="20"/>
          <w:szCs w:val="20"/>
          <w:color w:val="auto"/>
        </w:rPr>
      </w:pPr>
    </w:p>
    <w:p>
      <w:pPr>
        <w:ind w:left="620" w:hanging="616"/>
        <w:spacing w:after="0" w:line="296"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Authorized Share Capital: </w:t>
      </w:r>
      <w:r>
        <w:rPr>
          <w:rFonts w:ascii="Times New Roman" w:cs="Times New Roman" w:eastAsia="Times New Roman" w:hAnsi="Times New Roman"/>
          <w:sz w:val="17"/>
          <w:szCs w:val="17"/>
          <w:color w:val="auto"/>
        </w:rPr>
        <w:t>at the time of the issuance of Plan Shares pursuant to the exercise and settlement of Plan Option Rights, the authorized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w:t>
      </w:r>
      <w:r>
        <w:rPr>
          <w:rFonts w:ascii="Times New Roman" w:cs="Times New Roman" w:eastAsia="Times New Roman" w:hAnsi="Times New Roman"/>
          <w:sz w:val="17"/>
          <w:szCs w:val="17"/>
          <w:i w:val="1"/>
          <w:iCs w:val="1"/>
          <w:color w:val="auto"/>
        </w:rPr>
        <w:t>maatschappelijk kapitaal</w:t>
      </w:r>
      <w:r>
        <w:rPr>
          <w:rFonts w:ascii="Times New Roman" w:cs="Times New Roman" w:eastAsia="Times New Roman" w:hAnsi="Times New Roman"/>
          <w:sz w:val="17"/>
          <w:szCs w:val="17"/>
          <w:color w:val="auto"/>
        </w:rPr>
        <w:t>) of the Company shall allow for the issuance of these Plan Shares;</w:t>
      </w:r>
    </w:p>
    <w:p>
      <w:pPr>
        <w:spacing w:after="0" w:line="139"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Listing of Shares</w:t>
      </w:r>
      <w:r>
        <w:rPr>
          <w:rFonts w:ascii="Times New Roman" w:cs="Times New Roman" w:eastAsia="Times New Roman" w:hAnsi="Times New Roman"/>
          <w:sz w:val="17"/>
          <w:szCs w:val="17"/>
          <w:color w:val="auto"/>
        </w:rPr>
        <w:t>: unless the Company duly relies on an exemption under the EU Prospectus Directive and the new Prospectus Regulation, Plan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shall have been admitted to trading on Euronext Brussels pursuant to and following the approval and publication of a prospectus drawn up in accordance with the EU Prospectus Directive and the new Prospectus Regulation;</w:t>
      </w:r>
    </w:p>
    <w:p>
      <w:pPr>
        <w:spacing w:after="0" w:line="156"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Financial Supervision Act: </w:t>
      </w:r>
      <w:r>
        <w:rPr>
          <w:rFonts w:ascii="Times New Roman" w:cs="Times New Roman" w:eastAsia="Times New Roman" w:hAnsi="Times New Roman"/>
          <w:sz w:val="17"/>
          <w:szCs w:val="17"/>
          <w:color w:val="auto"/>
        </w:rPr>
        <w:t>the Company is not required to be licensed pursuant to the Dutch Financial Supervision Act (</w:t>
      </w:r>
      <w:r>
        <w:rPr>
          <w:rFonts w:ascii="Times New Roman" w:cs="Times New Roman" w:eastAsia="Times New Roman" w:hAnsi="Times New Roman"/>
          <w:sz w:val="17"/>
          <w:szCs w:val="17"/>
          <w:i w:val="1"/>
          <w:iCs w:val="1"/>
          <w:color w:val="auto"/>
        </w:rPr>
        <w:t>Wet op het financieel toezicht</w:t>
      </w:r>
      <w:r>
        <w:rPr>
          <w:rFonts w:ascii="Times New Roman" w:cs="Times New Roman" w:eastAsia="Times New Roman" w:hAnsi="Times New Roman"/>
          <w:sz w:val="17"/>
          <w:szCs w:val="17"/>
          <w:color w:val="auto"/>
        </w:rPr>
        <w:t>);</w:t>
      </w:r>
    </w:p>
    <w:p>
      <w:pPr>
        <w:spacing w:after="0" w:line="218" w:lineRule="exact"/>
        <w:rPr>
          <w:rFonts w:ascii="Times New Roman" w:cs="Times New Roman" w:eastAsia="Times New Roman" w:hAnsi="Times New Roman"/>
          <w:sz w:val="17"/>
          <w:szCs w:val="17"/>
          <w:color w:val="auto"/>
        </w:rPr>
      </w:pPr>
    </w:p>
    <w:p>
      <w:pPr>
        <w:jc w:val="both"/>
        <w:ind w:left="620" w:hanging="616"/>
        <w:spacing w:after="0" w:line="26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Anti-terrorism, Money Laundering: </w:t>
      </w:r>
      <w:r>
        <w:rPr>
          <w:rFonts w:ascii="Times New Roman" w:cs="Times New Roman" w:eastAsia="Times New Roman" w:hAnsi="Times New Roman"/>
          <w:sz w:val="17"/>
          <w:szCs w:val="17"/>
          <w:color w:val="auto"/>
        </w:rPr>
        <w:t>the parties to a transaction comply with all applicable anti-terrorism, anti-corruption, anti-money laundering,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sanctions and human rights laws and regulations, and the performance or enforcement of a transaction is consistent with all such laws and regulations; without providing conclusive evidence, this assumption is supported by our online enquiry with the registers referred to in Sections 2:20(4) and 10:123 of the Dutch Civil Code finalised today confirming that the Company is not listed on any such list; and</w:t>
      </w:r>
    </w:p>
    <w:p>
      <w:pPr>
        <w:spacing w:after="0" w:line="162" w:lineRule="exact"/>
        <w:rPr>
          <w:rFonts w:ascii="Times New Roman" w:cs="Times New Roman" w:eastAsia="Times New Roman" w:hAnsi="Times New Roman"/>
          <w:sz w:val="17"/>
          <w:szCs w:val="17"/>
          <w:color w:val="auto"/>
        </w:rPr>
      </w:pPr>
    </w:p>
    <w:p>
      <w:pPr>
        <w:jc w:val="both"/>
        <w:ind w:left="620" w:hanging="616"/>
        <w:spacing w:after="0" w:line="26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Director Disqualification: </w:t>
      </w:r>
      <w:r>
        <w:rPr>
          <w:rFonts w:ascii="Times New Roman" w:cs="Times New Roman" w:eastAsia="Times New Roman" w:hAnsi="Times New Roman"/>
          <w:sz w:val="17"/>
          <w:szCs w:val="17"/>
          <w:color w:val="auto"/>
        </w:rPr>
        <w:t>none of the directors of the Company is subject to a civil law director disqualification (</w:t>
      </w:r>
      <w:r>
        <w:rPr>
          <w:rFonts w:ascii="Times New Roman" w:cs="Times New Roman" w:eastAsia="Times New Roman" w:hAnsi="Times New Roman"/>
          <w:sz w:val="17"/>
          <w:szCs w:val="17"/>
          <w:i w:val="1"/>
          <w:iCs w:val="1"/>
          <w:color w:val="auto"/>
        </w:rPr>
        <w:t>civielrechtelijk bestuursverbod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imposed by a court under Section 106a to 106e of the Dutch Bankruptcy Act (</w:t>
      </w:r>
      <w:r>
        <w:rPr>
          <w:rFonts w:ascii="Times New Roman" w:cs="Times New Roman" w:eastAsia="Times New Roman" w:hAnsi="Times New Roman"/>
          <w:sz w:val="17"/>
          <w:szCs w:val="17"/>
          <w:i w:val="1"/>
          <w:iCs w:val="1"/>
          <w:color w:val="auto"/>
        </w:rPr>
        <w:t>Faillissementswet</w:t>
      </w:r>
      <w:r>
        <w:rPr>
          <w:rFonts w:ascii="Times New Roman" w:cs="Times New Roman" w:eastAsia="Times New Roman" w:hAnsi="Times New Roman"/>
          <w:sz w:val="17"/>
          <w:szCs w:val="17"/>
          <w:color w:val="auto"/>
        </w:rPr>
        <w:t>) or under Section 2:19c of the Dutch Civil Code (</w:t>
      </w:r>
      <w:r>
        <w:rPr>
          <w:rFonts w:ascii="Times New Roman" w:cs="Times New Roman" w:eastAsia="Times New Roman" w:hAnsi="Times New Roman"/>
          <w:sz w:val="17"/>
          <w:szCs w:val="17"/>
          <w:i w:val="1"/>
          <w:iCs w:val="1"/>
          <w:color w:val="auto"/>
        </w:rPr>
        <w:t>Burgerlijk Wetboek</w:t>
      </w:r>
      <w:r>
        <w:rPr>
          <w:rFonts w:ascii="Times New Roman" w:cs="Times New Roman" w:eastAsia="Times New Roman" w:hAnsi="Times New Roman"/>
          <w:sz w:val="17"/>
          <w:szCs w:val="17"/>
          <w:color w:val="auto"/>
        </w:rPr>
        <w:t>)); although not providing conclusive evidence thereof, this assumption is supported by our enquiries today with the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8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7"/>
          <w:szCs w:val="17"/>
          <w:b w:val="1"/>
          <w:bCs w:val="1"/>
          <w:color w:val="auto"/>
        </w:rPr>
        <w:t>9/10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opinion is subject to the following qualifications:</w:t>
      </w:r>
    </w:p>
    <w:p>
      <w:pPr>
        <w:spacing w:after="0" w:line="215" w:lineRule="exact"/>
        <w:rPr>
          <w:sz w:val="20"/>
          <w:szCs w:val="20"/>
          <w:color w:val="auto"/>
        </w:rPr>
      </w:pPr>
    </w:p>
    <w:p>
      <w:pPr>
        <w:jc w:val="both"/>
        <w:ind w:left="620" w:hanging="616"/>
        <w:spacing w:after="0" w:line="261"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Insolvency Proceedings: </w:t>
      </w:r>
      <w:r>
        <w:rPr>
          <w:rFonts w:ascii="Times New Roman" w:cs="Times New Roman" w:eastAsia="Times New Roman" w:hAnsi="Times New Roman"/>
          <w:sz w:val="17"/>
          <w:szCs w:val="17"/>
          <w:color w:val="auto"/>
        </w:rPr>
        <w:t>our opinion is subject to and limited by the provisions of any applicable bankruptcy, insolvency, moratorium, (preliminary)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suspension of payments, pre-insolvency private plan procedure (</w:t>
      </w:r>
      <w:r>
        <w:rPr>
          <w:rFonts w:ascii="Times New Roman" w:cs="Times New Roman" w:eastAsia="Times New Roman" w:hAnsi="Times New Roman"/>
          <w:sz w:val="17"/>
          <w:szCs w:val="17"/>
          <w:i w:val="1"/>
          <w:iCs w:val="1"/>
          <w:color w:val="auto"/>
        </w:rPr>
        <w:t>onderhands akkoordprocedure</w:t>
      </w:r>
      <w:r>
        <w:rPr>
          <w:rFonts w:ascii="Times New Roman" w:cs="Times New Roman" w:eastAsia="Times New Roman" w:hAnsi="Times New Roman"/>
          <w:sz w:val="17"/>
          <w:szCs w:val="17"/>
          <w:color w:val="auto"/>
        </w:rPr>
        <w:t xml:space="preserve">), emergency rules and laws and other similar rules and laws of general application relating to or affecting generally the enforcement of creditors’ rights and remedies from time to time in effect; no opinion is given or implied herein (i) that if insolvency proceedings would be opened with respect to the Company, such insolvency proceedings would be opened in the Netherlands or be governed by Dutch law, (ii) on the enforceability of </w:t>
      </w:r>
      <w:r>
        <w:rPr>
          <w:rFonts w:ascii="Times New Roman" w:cs="Times New Roman" w:eastAsia="Times New Roman" w:hAnsi="Times New Roman"/>
          <w:sz w:val="17"/>
          <w:szCs w:val="17"/>
          <w:i w:val="1"/>
          <w:iCs w:val="1"/>
          <w:color w:val="auto"/>
        </w:rPr>
        <w:t>ipso facto</w:t>
      </w:r>
      <w:r>
        <w:rPr>
          <w:rFonts w:ascii="Times New Roman" w:cs="Times New Roman" w:eastAsia="Times New Roman" w:hAnsi="Times New Roman"/>
          <w:sz w:val="17"/>
          <w:szCs w:val="17"/>
          <w:color w:val="auto"/>
        </w:rPr>
        <w:t xml:space="preserve"> provisions in the context of a Dutch pre-insolvency private plan procedure (</w:t>
      </w:r>
      <w:r>
        <w:rPr>
          <w:rFonts w:ascii="Times New Roman" w:cs="Times New Roman" w:eastAsia="Times New Roman" w:hAnsi="Times New Roman"/>
          <w:sz w:val="17"/>
          <w:szCs w:val="17"/>
          <w:i w:val="1"/>
          <w:iCs w:val="1"/>
          <w:color w:val="auto"/>
        </w:rPr>
        <w:t>onderhands akkoordprocedure</w:t>
      </w:r>
      <w:r>
        <w:rPr>
          <w:rFonts w:ascii="Times New Roman" w:cs="Times New Roman" w:eastAsia="Times New Roman" w:hAnsi="Times New Roman"/>
          <w:sz w:val="17"/>
          <w:szCs w:val="17"/>
          <w:color w:val="auto"/>
        </w:rPr>
        <w:t>), and (iii) on the effects of any foreign laws that may apply in such insolvency proceedings pursuant to the Insolvency Regulation or otherwise;</w:t>
      </w:r>
    </w:p>
    <w:p>
      <w:pPr>
        <w:spacing w:after="0" w:line="169" w:lineRule="exact"/>
        <w:rPr>
          <w:rFonts w:ascii="Times New Roman" w:cs="Times New Roman" w:eastAsia="Times New Roman" w:hAnsi="Times New Roman"/>
          <w:sz w:val="17"/>
          <w:szCs w:val="17"/>
          <w:color w:val="auto"/>
        </w:rPr>
      </w:pPr>
    </w:p>
    <w:p>
      <w:pPr>
        <w:jc w:val="both"/>
        <w:ind w:left="620" w:hanging="616"/>
        <w:spacing w:after="0" w:line="268"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Creditor Action: </w:t>
      </w:r>
      <w:r>
        <w:rPr>
          <w:rFonts w:ascii="Times New Roman" w:cs="Times New Roman" w:eastAsia="Times New Roman" w:hAnsi="Times New Roman"/>
          <w:sz w:val="17"/>
          <w:szCs w:val="17"/>
          <w:color w:val="auto"/>
        </w:rPr>
        <w:t>our opinion is subject to and limited by the protection afforded by Dutch law to creditors whose interests have been adversely affected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the rules of Dutch law relating to (i) unlawful acts (</w:t>
      </w:r>
      <w:r>
        <w:rPr>
          <w:rFonts w:ascii="Times New Roman" w:cs="Times New Roman" w:eastAsia="Times New Roman" w:hAnsi="Times New Roman"/>
          <w:sz w:val="17"/>
          <w:szCs w:val="17"/>
          <w:i w:val="1"/>
          <w:iCs w:val="1"/>
          <w:color w:val="auto"/>
        </w:rPr>
        <w:t>onrechtmatige daden</w:t>
      </w:r>
      <w:r>
        <w:rPr>
          <w:rFonts w:ascii="Times New Roman" w:cs="Times New Roman" w:eastAsia="Times New Roman" w:hAnsi="Times New Roman"/>
          <w:sz w:val="17"/>
          <w:szCs w:val="17"/>
          <w:color w:val="auto"/>
        </w:rPr>
        <w:t>) based on section 6:162 et seq. of the Dutch Civil Code (</w:t>
      </w:r>
      <w:r>
        <w:rPr>
          <w:rFonts w:ascii="Times New Roman" w:cs="Times New Roman" w:eastAsia="Times New Roman" w:hAnsi="Times New Roman"/>
          <w:sz w:val="17"/>
          <w:szCs w:val="17"/>
          <w:i w:val="1"/>
          <w:iCs w:val="1"/>
          <w:color w:val="auto"/>
        </w:rPr>
        <w:t>Burgerlijk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Wetboek</w:t>
      </w:r>
      <w:r>
        <w:rPr>
          <w:rFonts w:ascii="Times New Roman" w:cs="Times New Roman" w:eastAsia="Times New Roman" w:hAnsi="Times New Roman"/>
          <w:sz w:val="17"/>
          <w:szCs w:val="17"/>
          <w:color w:val="auto"/>
        </w:rPr>
        <w:t>) and (ii) fraudulent conveyance or preference (</w:t>
      </w:r>
      <w:r>
        <w:rPr>
          <w:rFonts w:ascii="Times New Roman" w:cs="Times New Roman" w:eastAsia="Times New Roman" w:hAnsi="Times New Roman"/>
          <w:sz w:val="17"/>
          <w:szCs w:val="17"/>
          <w:i w:val="1"/>
          <w:iCs w:val="1"/>
          <w:color w:val="auto"/>
        </w:rPr>
        <w:t>actio pauliana</w:t>
      </w:r>
      <w:r>
        <w:rPr>
          <w:rFonts w:ascii="Times New Roman" w:cs="Times New Roman" w:eastAsia="Times New Roman" w:hAnsi="Times New Roman"/>
          <w:sz w:val="17"/>
          <w:szCs w:val="17"/>
          <w:color w:val="auto"/>
        </w:rPr>
        <w:t>) within the meaning of section 3:45 of the Dutch Civil Code (</w:t>
      </w:r>
      <w:r>
        <w:rPr>
          <w:rFonts w:ascii="Times New Roman" w:cs="Times New Roman" w:eastAsia="Times New Roman" w:hAnsi="Times New Roman"/>
          <w:sz w:val="17"/>
          <w:szCs w:val="17"/>
          <w:i w:val="1"/>
          <w:iCs w:val="1"/>
          <w:color w:val="auto"/>
        </w:rPr>
        <w:t>Burgerlijk Wetboek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section 42 et seq. of the Dutch Bankruptcy Act (</w:t>
      </w:r>
      <w:r>
        <w:rPr>
          <w:rFonts w:ascii="Times New Roman" w:cs="Times New Roman" w:eastAsia="Times New Roman" w:hAnsi="Times New Roman"/>
          <w:sz w:val="17"/>
          <w:szCs w:val="17"/>
          <w:i w:val="1"/>
          <w:iCs w:val="1"/>
          <w:color w:val="auto"/>
        </w:rPr>
        <w:t>Faillissementswet</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Limitations under Dutch law: </w:t>
      </w:r>
      <w:r>
        <w:rPr>
          <w:rFonts w:ascii="Times New Roman" w:cs="Times New Roman" w:eastAsia="Times New Roman" w:hAnsi="Times New Roman"/>
          <w:sz w:val="17"/>
          <w:szCs w:val="17"/>
          <w:color w:val="auto"/>
        </w:rPr>
        <w:t>the validity and enforceability of obligations of a Company are subject to applicable prescription or limitation periods,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principles of set-off (unless such right is validly waived), force majeure (</w:t>
      </w:r>
      <w:r>
        <w:rPr>
          <w:rFonts w:ascii="Times New Roman" w:cs="Times New Roman" w:eastAsia="Times New Roman" w:hAnsi="Times New Roman"/>
          <w:sz w:val="17"/>
          <w:szCs w:val="17"/>
          <w:i w:val="1"/>
          <w:iCs w:val="1"/>
          <w:color w:val="auto"/>
        </w:rPr>
        <w:t>overmacht</w:t>
      </w:r>
      <w:r>
        <w:rPr>
          <w:rFonts w:ascii="Times New Roman" w:cs="Times New Roman" w:eastAsia="Times New Roman" w:hAnsi="Times New Roman"/>
          <w:sz w:val="17"/>
          <w:szCs w:val="17"/>
          <w:color w:val="auto"/>
        </w:rPr>
        <w:t>), reasonableness and fairness (</w:t>
      </w:r>
      <w:r>
        <w:rPr>
          <w:rFonts w:ascii="Times New Roman" w:cs="Times New Roman" w:eastAsia="Times New Roman" w:hAnsi="Times New Roman"/>
          <w:sz w:val="17"/>
          <w:szCs w:val="17"/>
          <w:i w:val="1"/>
          <w:iCs w:val="1"/>
          <w:color w:val="auto"/>
        </w:rPr>
        <w:t>redelijkheid en billijkheid</w:t>
      </w:r>
      <w:r>
        <w:rPr>
          <w:rFonts w:ascii="Times New Roman" w:cs="Times New Roman" w:eastAsia="Times New Roman" w:hAnsi="Times New Roman"/>
          <w:sz w:val="17"/>
          <w:szCs w:val="17"/>
          <w:color w:val="auto"/>
        </w:rPr>
        <w:t>), unforeseen circumstances (</w:t>
      </w:r>
      <w:r>
        <w:rPr>
          <w:rFonts w:ascii="Times New Roman" w:cs="Times New Roman" w:eastAsia="Times New Roman" w:hAnsi="Times New Roman"/>
          <w:sz w:val="17"/>
          <w:szCs w:val="17"/>
          <w:i w:val="1"/>
          <w:iCs w:val="1"/>
          <w:color w:val="auto"/>
        </w:rPr>
        <w:t>onvoorziene omstandigheden</w:t>
      </w:r>
      <w:r>
        <w:rPr>
          <w:rFonts w:ascii="Times New Roman" w:cs="Times New Roman" w:eastAsia="Times New Roman" w:hAnsi="Times New Roman"/>
          <w:sz w:val="17"/>
          <w:szCs w:val="17"/>
          <w:color w:val="auto"/>
        </w:rPr>
        <w:t>) and other defences afforded by Dutch law to obligors generally;</w:t>
      </w:r>
    </w:p>
    <w:p>
      <w:pPr>
        <w:spacing w:after="0" w:line="156" w:lineRule="exact"/>
        <w:rPr>
          <w:rFonts w:ascii="Times New Roman" w:cs="Times New Roman" w:eastAsia="Times New Roman" w:hAnsi="Times New Roman"/>
          <w:sz w:val="17"/>
          <w:szCs w:val="17"/>
          <w:color w:val="auto"/>
        </w:rPr>
      </w:pPr>
    </w:p>
    <w:p>
      <w:pPr>
        <w:jc w:val="both"/>
        <w:ind w:left="620" w:hanging="616"/>
        <w:spacing w:after="0" w:line="268"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Scope of Objects: </w:t>
      </w:r>
      <w:r>
        <w:rPr>
          <w:rFonts w:ascii="Times New Roman" w:cs="Times New Roman" w:eastAsia="Times New Roman" w:hAnsi="Times New Roman"/>
          <w:sz w:val="17"/>
          <w:szCs w:val="17"/>
          <w:color w:val="auto"/>
        </w:rPr>
        <w:t>the Company may invoke the nullity of any legal act (</w:t>
      </w:r>
      <w:r>
        <w:rPr>
          <w:rFonts w:ascii="Times New Roman" w:cs="Times New Roman" w:eastAsia="Times New Roman" w:hAnsi="Times New Roman"/>
          <w:sz w:val="17"/>
          <w:szCs w:val="17"/>
          <w:i w:val="1"/>
          <w:iCs w:val="1"/>
          <w:color w:val="auto"/>
        </w:rPr>
        <w:t>rechtshandeling</w:t>
      </w:r>
      <w:r>
        <w:rPr>
          <w:rFonts w:ascii="Times New Roman" w:cs="Times New Roman" w:eastAsia="Times New Roman" w:hAnsi="Times New Roman"/>
          <w:sz w:val="17"/>
          <w:szCs w:val="17"/>
          <w:color w:val="auto"/>
        </w:rPr>
        <w:t>) if such legal act was outside its objects and the other party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legal act was or should – without investigation - have been aware of this; however, the determination of whether a legal act is within the objects of the Company may not be based solely on the description of these objects in the Company’s articles of association, but must take into account all relevant circumstances, including in particular the question whether the interests of the Company are served by the relevant legal act;</w:t>
      </w:r>
    </w:p>
    <w:p>
      <w:pPr>
        <w:spacing w:after="0" w:line="162" w:lineRule="exact"/>
        <w:rPr>
          <w:rFonts w:ascii="Times New Roman" w:cs="Times New Roman" w:eastAsia="Times New Roman" w:hAnsi="Times New Roman"/>
          <w:sz w:val="17"/>
          <w:szCs w:val="17"/>
          <w:color w:val="auto"/>
        </w:rPr>
      </w:pPr>
    </w:p>
    <w:p>
      <w:pPr>
        <w:ind w:left="620" w:hanging="616"/>
        <w:spacing w:after="0" w:line="296"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Mandatory Provisions of Dutch Law</w:t>
      </w:r>
      <w:r>
        <w:rPr>
          <w:rFonts w:ascii="Times New Roman" w:cs="Times New Roman" w:eastAsia="Times New Roman" w:hAnsi="Times New Roman"/>
          <w:sz w:val="17"/>
          <w:szCs w:val="17"/>
          <w:color w:val="auto"/>
        </w:rPr>
        <w:t>: with respect to the obligations of the Company, the competent Dutch courts may give effect to mandatory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provisions of Dutch law irrespective of the law otherwise applicable to the Documents or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382270</wp:posOffset>
            </wp:positionV>
            <wp:extent cx="7138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7"/>
          <w:szCs w:val="17"/>
          <w:b w:val="1"/>
          <w:bCs w:val="1"/>
          <w:color w:val="auto"/>
        </w:rPr>
        <w:t>10/10</w:t>
      </w:r>
    </w:p>
    <w:p>
      <w:pPr>
        <w:spacing w:after="0" w:line="200" w:lineRule="exact"/>
        <w:rPr>
          <w:sz w:val="20"/>
          <w:szCs w:val="20"/>
          <w:color w:val="auto"/>
        </w:rPr>
      </w:pPr>
    </w:p>
    <w:p>
      <w:pPr>
        <w:spacing w:after="0" w:line="224" w:lineRule="exact"/>
        <w:rPr>
          <w:sz w:val="20"/>
          <w:szCs w:val="20"/>
          <w:color w:val="auto"/>
        </w:rPr>
      </w:pPr>
    </w:p>
    <w:p>
      <w:pPr>
        <w:ind w:left="620" w:hanging="616"/>
        <w:spacing w:after="0" w:line="296"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Sanctions Act 1977</w:t>
      </w:r>
      <w:r>
        <w:rPr>
          <w:rFonts w:ascii="Times New Roman" w:cs="Times New Roman" w:eastAsia="Times New Roman" w:hAnsi="Times New Roman"/>
          <w:sz w:val="17"/>
          <w:szCs w:val="17"/>
          <w:color w:val="auto"/>
        </w:rPr>
        <w:t>: the Sanctions Act 1977 (</w:t>
      </w:r>
      <w:r>
        <w:rPr>
          <w:rFonts w:ascii="Times New Roman" w:cs="Times New Roman" w:eastAsia="Times New Roman" w:hAnsi="Times New Roman"/>
          <w:sz w:val="17"/>
          <w:szCs w:val="17"/>
          <w:i w:val="1"/>
          <w:iCs w:val="1"/>
          <w:color w:val="auto"/>
        </w:rPr>
        <w:t>Sanctiewet 1977</w:t>
      </w:r>
      <w:r>
        <w:rPr>
          <w:rFonts w:ascii="Times New Roman" w:cs="Times New Roman" w:eastAsia="Times New Roman" w:hAnsi="Times New Roman"/>
          <w:sz w:val="17"/>
          <w:szCs w:val="17"/>
          <w:color w:val="auto"/>
        </w:rPr>
        <w:t>) and regulations promulgated thereunder, or international sanctions, may limit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enforceability;</w:t>
      </w:r>
    </w:p>
    <w:p>
      <w:pPr>
        <w:spacing w:after="0" w:line="139" w:lineRule="exact"/>
        <w:rPr>
          <w:rFonts w:ascii="Times New Roman" w:cs="Times New Roman" w:eastAsia="Times New Roman" w:hAnsi="Times New Roman"/>
          <w:sz w:val="17"/>
          <w:szCs w:val="17"/>
          <w:color w:val="auto"/>
        </w:rPr>
      </w:pPr>
    </w:p>
    <w:p>
      <w:pPr>
        <w:jc w:val="both"/>
        <w:ind w:left="620" w:hanging="616"/>
        <w:spacing w:after="0" w:line="26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Non-assessable: </w:t>
      </w:r>
      <w:r>
        <w:rPr>
          <w:rFonts w:ascii="Times New Roman" w:cs="Times New Roman" w:eastAsia="Times New Roman" w:hAnsi="Times New Roman"/>
          <w:sz w:val="17"/>
          <w:szCs w:val="17"/>
          <w:color w:val="auto"/>
        </w:rPr>
        <w:t>in absence of an equivalent Dutch legal term for the term “non-assessable” as used in this opinion letter and for the purposes of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opinion letter, non-assessable means that no holder of Plan Shares can be required to pay any amount in addition to the amount required for such share to be fully paid as provided for by Section 2:81 of the Dutch Civil Code and holders of Plan Shares cannot be held personally liable for acts performed in the name of the Company and cannot be held liable to contribute to losses of the Company in excess of the amount which must be paid up on their shares as provided for by Section 2:64 of the Dutch Civil Code; and</w:t>
      </w:r>
    </w:p>
    <w:p>
      <w:pPr>
        <w:spacing w:after="0" w:line="168" w:lineRule="exact"/>
        <w:rPr>
          <w:rFonts w:ascii="Times New Roman" w:cs="Times New Roman" w:eastAsia="Times New Roman" w:hAnsi="Times New Roman"/>
          <w:sz w:val="17"/>
          <w:szCs w:val="17"/>
          <w:color w:val="auto"/>
        </w:rPr>
      </w:pPr>
    </w:p>
    <w:p>
      <w:pPr>
        <w:jc w:val="both"/>
        <w:ind w:left="620" w:hanging="616"/>
        <w:spacing w:after="0" w:line="275"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Commercial Register: </w:t>
      </w:r>
      <w:r>
        <w:rPr>
          <w:rFonts w:ascii="Times New Roman" w:cs="Times New Roman" w:eastAsia="Times New Roman" w:hAnsi="Times New Roman"/>
          <w:sz w:val="17"/>
          <w:szCs w:val="17"/>
          <w:color w:val="auto"/>
        </w:rPr>
        <w:t>an extract from the Commercial Register does not provide conclusive evidence that the facts set out in it are correct; however,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 the 2007 Trade Register Act (</w:t>
      </w:r>
      <w:r>
        <w:rPr>
          <w:rFonts w:ascii="Times New Roman" w:cs="Times New Roman" w:eastAsia="Times New Roman" w:hAnsi="Times New Roman"/>
          <w:sz w:val="17"/>
          <w:szCs w:val="17"/>
          <w:i w:val="1"/>
          <w:iCs w:val="1"/>
          <w:color w:val="auto"/>
        </w:rPr>
        <w:t>Handelsregisterwet 2007</w:t>
      </w:r>
      <w:r>
        <w:rPr>
          <w:rFonts w:ascii="Times New Roman" w:cs="Times New Roman" w:eastAsia="Times New Roman" w:hAnsi="Times New Roman"/>
          <w:sz w:val="17"/>
          <w:szCs w:val="17"/>
          <w:color w:val="auto"/>
        </w:rPr>
        <w:t>), subject to limited exceptions, a legal entity cannot invoke the incorrectness or incompleteness of its Commercial Register information against third parties who were unaware of the incorrectness or incompleteness.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38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reports dated March 20, 2025, relating to the financial statements of argenx SE and the effectiveness of argenx SE’s internal control over financial reporting, appearing in the Annual Report on Form 20-F of argenx SE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Accountants B.V.</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Eindhoven, The Netherlands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7138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9" w:name="page20"/>
    <w:bookmarkEnd w:id="19"/>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ARGENX SE</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6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6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Amount of</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6"/>
              </w:rPr>
              <w:t>Class</w:t>
            </w: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18"/>
                <w:szCs w:val="18"/>
                <w:color w:val="auto"/>
              </w:rPr>
            </w:pPr>
          </w:p>
        </w:tc>
        <w:tc>
          <w:tcPr>
            <w:tcW w:w="16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Aggregate</w:t>
            </w: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Registration</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Offering Price</w:t>
            </w: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continue"/>
            <w:shd w:val="clear" w:color="auto" w:fill="9ADAF6"/>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6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nominal</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value of</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EUR0.10</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reserved</w:t>
            </w:r>
          </w:p>
        </w:tc>
        <w:tc>
          <w:tcPr>
            <w:tcW w:w="20" w:type="dxa"/>
            <w:vAlign w:val="bottom"/>
          </w:tcPr>
          <w:p>
            <w:pPr>
              <w:spacing w:after="0"/>
              <w:rPr>
                <w:sz w:val="24"/>
                <w:szCs w:val="24"/>
                <w:color w:val="auto"/>
              </w:rPr>
            </w:pPr>
          </w:p>
        </w:tc>
        <w:tc>
          <w:tcPr>
            <w:tcW w:w="116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4"/>
                <w:szCs w:val="24"/>
                <w:color w:val="auto"/>
              </w:rPr>
            </w:pPr>
          </w:p>
        </w:tc>
        <w:tc>
          <w:tcPr>
            <w:tcW w:w="11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3,000,000</w:t>
            </w:r>
          </w:p>
        </w:tc>
        <w:tc>
          <w:tcPr>
            <w:tcW w:w="20" w:type="dxa"/>
            <w:vAlign w:val="bottom"/>
          </w:tcPr>
          <w:p>
            <w:pPr>
              <w:spacing w:after="0"/>
              <w:rPr>
                <w:sz w:val="24"/>
                <w:szCs w:val="24"/>
                <w:color w:val="auto"/>
              </w:rPr>
            </w:pPr>
          </w:p>
        </w:tc>
        <w:tc>
          <w:tcPr>
            <w:tcW w:w="13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$ 840.75</w:t>
            </w:r>
          </w:p>
        </w:tc>
        <w:tc>
          <w:tcPr>
            <w:tcW w:w="20" w:type="dxa"/>
            <w:vAlign w:val="bottom"/>
          </w:tcPr>
          <w:p>
            <w:pPr>
              <w:spacing w:after="0"/>
              <w:rPr>
                <w:sz w:val="24"/>
                <w:szCs w:val="24"/>
                <w:color w:val="auto"/>
              </w:rPr>
            </w:pPr>
          </w:p>
        </w:tc>
        <w:tc>
          <w:tcPr>
            <w:tcW w:w="16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1"/>
                <w:szCs w:val="21"/>
                <w:color w:val="auto"/>
                <w:w w:val="96"/>
              </w:rPr>
              <w:t>0.0001381</w:t>
            </w:r>
          </w:p>
        </w:tc>
        <w:tc>
          <w:tcPr>
            <w:tcW w:w="20" w:type="dxa"/>
            <w:vAlign w:val="bottom"/>
          </w:tcPr>
          <w:p>
            <w:pPr>
              <w:spacing w:after="0"/>
              <w:rPr>
                <w:sz w:val="24"/>
                <w:szCs w:val="24"/>
                <w:color w:val="auto"/>
              </w:rPr>
            </w:pPr>
          </w:p>
        </w:tc>
        <w:tc>
          <w:tcPr>
            <w:tcW w:w="15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$ 348,322.72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for</w:t>
            </w: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shd w:val="clear" w:color="auto" w:fill="E7E7E2"/>
          </w:tcPr>
          <w:p>
            <w:pPr>
              <w:jc w:val="right"/>
              <w:spacing w:after="0" w:line="142" w:lineRule="exact"/>
              <w:rPr>
                <w:sz w:val="20"/>
                <w:szCs w:val="20"/>
                <w:color w:val="auto"/>
              </w:rPr>
            </w:pPr>
            <w:r>
              <w:rPr>
                <w:rFonts w:ascii="Arial" w:cs="Arial" w:eastAsia="Arial" w:hAnsi="Arial"/>
                <w:sz w:val="16"/>
                <w:szCs w:val="16"/>
                <w:color w:val="auto"/>
              </w:rPr>
              <w:t>2,522,250,000.00</w:t>
            </w:r>
          </w:p>
        </w:tc>
        <w:tc>
          <w:tcPr>
            <w:tcW w:w="4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under the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argenx</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Plan, as</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amended</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$ 348,322.72</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21"/>
                <w:szCs w:val="21"/>
                <w:color w:val="auto"/>
                <w:w w:val="99"/>
              </w:rPr>
              <w:t>2,522,250,000.00</w:t>
            </w: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$ 348,322.72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700"/>
        <w:spacing w:after="0" w:line="234" w:lineRule="auto"/>
        <w:rPr>
          <w:sz w:val="20"/>
          <w:szCs w:val="20"/>
          <w:color w:val="auto"/>
        </w:rPr>
      </w:pPr>
      <w:r>
        <w:rPr>
          <w:rFonts w:ascii="Arial" w:cs="Arial" w:eastAsia="Arial" w:hAnsi="Arial"/>
          <w:sz w:val="21"/>
          <w:szCs w:val="21"/>
          <w:color w:val="auto"/>
        </w:rPr>
        <w:t>1(a) Pursuant to Rule 416 under the Securities Act of 1933, as amended (the "Securities Act"), this Registration Statement shall also cover any additional ordinary shares which become issuable under the argenx Equity Incentive Plan, as amended, by reason of any stock dividend, stock split, recapitalization or any other similar transaction effected without the receipt of consideration which results in an increase in the number of our outstanding ordinary shares. Pursuant to Rule 416(c) under the Securities Act, this Registration Statement shall also cover an indeterminate amount of interests to be offered or sold pursuant to the employee benefit plans described herein.</w:t>
      </w:r>
    </w:p>
    <w:p>
      <w:pPr>
        <w:spacing w:after="0" w:line="4" w:lineRule="exact"/>
        <w:rPr>
          <w:sz w:val="20"/>
          <w:szCs w:val="20"/>
          <w:color w:val="auto"/>
        </w:rPr>
      </w:pPr>
    </w:p>
    <w:p>
      <w:pPr>
        <w:jc w:val="both"/>
        <w:ind w:left="820" w:right="860"/>
        <w:spacing w:after="0" w:line="238" w:lineRule="auto"/>
        <w:rPr>
          <w:sz w:val="20"/>
          <w:szCs w:val="20"/>
          <w:color w:val="auto"/>
        </w:rPr>
      </w:pPr>
      <w:r>
        <w:rPr>
          <w:rFonts w:ascii="Arial" w:cs="Arial" w:eastAsia="Arial" w:hAnsi="Arial"/>
          <w:sz w:val="21"/>
          <w:szCs w:val="21"/>
          <w:color w:val="auto"/>
        </w:rPr>
        <w:t>1(b) Estimated solely for the purpose of determining the registration fee pursuant to Rule 457(h) and Rule 457(c) under the Securities Act, based upon the average of the high and low sales prices for the ordinary shares as quoted on the Nasdaq Stock Market on December 15, 2025 of $840.75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226060</wp:posOffset>
            </wp:positionV>
            <wp:extent cx="6398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109CF92E"/>
    <w:multiLevelType w:val="hybridMultilevel"/>
    <w:lvl w:ilvl="0">
      <w:lvlJc w:val="left"/>
      <w:lvlText w:val="(%1)"/>
      <w:numFmt w:val="lowerRoman"/>
      <w:start w:val="3"/>
    </w:lvl>
  </w:abstractNum>
  <w:abstractNum w:abstractNumId="3">
    <w:nsid w:val="DED7263"/>
    <w:multiLevelType w:val="hybridMultilevel"/>
    <w:lvl w:ilvl="0">
      <w:lvlJc w:val="left"/>
      <w:lvlText w:val="%1"/>
      <w:numFmt w:val="decimal"/>
      <w:start w:val="1"/>
    </w:lvl>
    <w:lvl w:ilvl="1">
      <w:lvlJc w:val="left"/>
      <w:lvlText w:val="(%2)"/>
      <w:numFmt w:val="lowerLetter"/>
      <w:start w:val="2"/>
    </w:lvl>
  </w:abstractNum>
  <w:abstractNum w:abstractNumId="4">
    <w:nsid w:val="7FDCC233"/>
    <w:multiLevelType w:val="hybridMultilevel"/>
    <w:lvl w:ilvl="0">
      <w:lvlJc w:val="left"/>
      <w:lvlText w:val="%1."/>
      <w:numFmt w:val="decimal"/>
      <w:start w:val="2"/>
    </w:lvl>
    <w:lvl w:ilvl="1">
      <w:lvlJc w:val="left"/>
      <w:lvlText w:val="%2"/>
      <w:numFmt w:val="lowerLetter"/>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3"/>
    </w:lvl>
    <w:lvl w:ilvl="1">
      <w:lvlJc w:val="left"/>
      <w:lvlText w:val="(%2)"/>
      <w:numFmt w:val="lowerRoman"/>
      <w:start w:val="1"/>
    </w:lvl>
  </w:abstractNum>
  <w:abstractNum w:abstractNumId="11">
    <w:nsid w:val="431BD7B7"/>
    <w:multiLevelType w:val="hybridMultilevel"/>
    <w:lvl w:ilvl="0">
      <w:lvlJc w:val="left"/>
      <w:lvlText w:val="%1."/>
      <w:numFmt w:val="decimal"/>
      <w:start w:val="3"/>
    </w:lvl>
  </w:abstractNum>
  <w:abstractNum w:abstractNumId="12">
    <w:nsid w:val="3F2DBA31"/>
    <w:multiLevelType w:val="hybridMultilevel"/>
    <w:lvl w:ilvl="0">
      <w:lvlJc w:val="left"/>
      <w:lvlText w:val="(%1)"/>
      <w:numFmt w:val="lowerRoman"/>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8"/>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7"/>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9"/>
    </w:lvl>
  </w:abstractNum>
  <w:abstractNum w:abstractNumId="21">
    <w:nsid w:val="2D1D5AE9"/>
    <w:multiLevelType w:val="hybridMultilevel"/>
    <w:lvl w:ilvl="0">
      <w:lvlJc w:val="left"/>
      <w:lvlText w:val="(%1)"/>
      <w:numFmt w:val="lowerLetter"/>
      <w:start w:val="1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jpe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13" Type="http://schemas.openxmlformats.org/officeDocument/2006/relationships/hyperlink" Target="https://www.sec.gov/ix?doc=/Archives/edgar/data/1697862/000169786225000024/argx-20241231.htm" TargetMode="External"/><Relationship Id="rId14" Type="http://schemas.openxmlformats.org/officeDocument/2006/relationships/hyperlink" Target="https://www.sec.gov/Archives/edgar/data/1697862/000110465925032829/tm2511649d1_6k.htm" TargetMode="External"/><Relationship Id="rId15" Type="http://schemas.openxmlformats.org/officeDocument/2006/relationships/hyperlink" Target="https://www.sec.gov/Archives/edgar/data/1697862/000110465925033857/tm2511923d1_6k.htm" TargetMode="External"/><Relationship Id="rId16" Type="http://schemas.openxmlformats.org/officeDocument/2006/relationships/hyperlink" Target="https://www.sec.gov/Archives/edgar/data/1697862/000110465925034301/tm2512200d1_6k.htm" TargetMode="External"/><Relationship Id="rId17" Type="http://schemas.openxmlformats.org/officeDocument/2006/relationships/hyperlink" Target="https://www.sec.gov/Archives/edgar/data/1697862/000110465925039791/tm2513185d1_6k.htm" TargetMode="External"/><Relationship Id="rId18" Type="http://schemas.openxmlformats.org/officeDocument/2006/relationships/hyperlink" Target="https://www.sec.gov/Archives/edgar/data/1697862/000169786225000028/a01coverpageforsecfilingq1.htm" TargetMode="External"/><Relationship Id="rId19" Type="http://schemas.openxmlformats.org/officeDocument/2006/relationships/hyperlink" Target="https://www.sec.gov/Archives/edgar/data/1697862/000110465925053597/tm2516388d1_6k.htm" TargetMode="External"/><Relationship Id="rId20" Type="http://schemas.openxmlformats.org/officeDocument/2006/relationships/hyperlink" Target="https://www.sec.gov/Archives/edgar/data/1697862/000110465925058370/tm2517615d1_6k.htm" TargetMode="External"/><Relationship Id="rId21" Type="http://schemas.openxmlformats.org/officeDocument/2006/relationships/hyperlink" Target="https://www.sec.gov/Archives/edgar/data/1697862/000110465925061153/tm2518551d1_6k.htm" TargetMode="External"/><Relationship Id="rId22" Type="http://schemas.openxmlformats.org/officeDocument/2006/relationships/hyperlink" Target="https://www.sec.gov/Archives/edgar/data/1697862/000110465925063821/tm2519257d1_6k.htm" TargetMode="External"/><Relationship Id="rId23" Type="http://schemas.openxmlformats.org/officeDocument/2006/relationships/hyperlink" Target="https://www.sec.gov/ix?doc=/Archives/edgar/data/1697862/000169786225000042/argx-20250630.htm" TargetMode="External"/><Relationship Id="rId24" Type="http://schemas.openxmlformats.org/officeDocument/2006/relationships/hyperlink" Target="https://www.sec.gov/Archives/edgar/data/1697862/000110465925082118/tm2524211d1_6k.htm" TargetMode="External"/><Relationship Id="rId25" Type="http://schemas.openxmlformats.org/officeDocument/2006/relationships/hyperlink" Target="https://www.sec.gov/Archives/edgar/data/1697862/000110465925096689/tm2528000d1_6k.htm" TargetMode="External"/><Relationship Id="rId26" Type="http://schemas.openxmlformats.org/officeDocument/2006/relationships/hyperlink" Target="https://www.sec.gov/Archives/edgar/data/1697862/000110465925099461/tm2528630d1_6k.htm" TargetMode="External"/><Relationship Id="rId27" Type="http://schemas.openxmlformats.org/officeDocument/2006/relationships/hyperlink" Target="https://www.sec.gov/Archives/edgar/data/1697862/000110465925103621/tm2529569d1_6k.htm" TargetMode="External"/><Relationship Id="rId28" Type="http://schemas.openxmlformats.org/officeDocument/2006/relationships/hyperlink" Target="https://www.sec.gov/Archives/edgar/data/1697862/000169786225000059/a01coverpageforsecfilingq3.htm" TargetMode="External"/><Relationship Id="rId29" Type="http://schemas.openxmlformats.org/officeDocument/2006/relationships/hyperlink" Target="https://www.sec.gov/Archives/edgar/data/1697862/000110465925113712/tm2531632d1_6k.htm" TargetMode="External"/><Relationship Id="rId30" Type="http://schemas.openxmlformats.org/officeDocument/2006/relationships/hyperlink" Target="https://www.sec.gov/Archives/edgar/data/1697862/000110465925120809/tm2533481d1_6k.htm" TargetMode="External"/><Relationship Id="rId31" Type="http://schemas.openxmlformats.org/officeDocument/2006/relationships/hyperlink" Target="https://www.sec.gov/Archives/edgar/data/1697862/000110465917033154/a17-2590_58a12b.htm" TargetMode="External"/><Relationship Id="rId35" Type="http://schemas.openxmlformats.org/officeDocument/2006/relationships/hyperlink" Target="https://www.sec.gov/Archives/edgar/data/1697862/000169786225000024/argenxse-dltaoaeng105006992.htm" TargetMode="External"/><Relationship Id="rId36" Type="http://schemas.openxmlformats.org/officeDocument/2006/relationships/hyperlink" Target="https://www.sec.gov/Archives/edgar/data/1697862/000104746917003435/a2232157zex-4_1.htm" TargetMode="External"/><Relationship Id="rId37" Type="http://schemas.openxmlformats.org/officeDocument/2006/relationships/hyperlink" Target="https://www.sec.gov/Archives/edgar/data/1697862/000169786225000024/argenxequityincentiveplan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2025-12-17T15:15:23Z</dcterms:created>
  <dcterms:modified xsi:type="dcterms:W3CDTF">2025-12-17T15:15:23Z</dcterms:modified>
</cp:coreProperties>
</file>